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10E64C">
      <w:pPr>
        <w:jc w:val="left"/>
        <w:rPr>
          <w:rFonts w:hint="eastAsia" w:ascii="思源黑体 CN Light" w:hAnsi="思源黑体 CN Light" w:eastAsia="思源黑体 CN Light" w:cs="思源黑体 CN Light"/>
          <w:b/>
          <w:color w:val="000000"/>
          <w:kern w:val="1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color w:val="000000"/>
          <w:kern w:val="1"/>
          <w:sz w:val="24"/>
          <w:szCs w:val="24"/>
        </w:rPr>
        <w:t>型号：MX-AHD-IR-B2</w:t>
      </w:r>
      <w:bookmarkStart w:id="0" w:name="_GoBack"/>
      <w:bookmarkEnd w:id="0"/>
      <w:r>
        <w:rPr>
          <w:rFonts w:hint="eastAsia" w:ascii="思源黑体 CN Light" w:hAnsi="思源黑体 CN Light" w:eastAsia="思源黑体 CN Light" w:cs="思源黑体 CN Light"/>
          <w:b/>
          <w:color w:val="000000"/>
          <w:kern w:val="1"/>
          <w:sz w:val="24"/>
          <w:szCs w:val="24"/>
        </w:rPr>
        <w:t>智能红外云台摄像机</w:t>
      </w:r>
    </w:p>
    <w:p w14:paraId="7AF2C30E">
      <w:pPr>
        <w:rPr>
          <w:rFonts w:hint="eastAsia" w:ascii="思源黑体 CN Light" w:hAnsi="思源黑体 CN Light" w:eastAsia="思源黑体 CN Light" w:cs="思源黑体 CN Light"/>
          <w:b/>
          <w:color w:val="000000"/>
          <w:kern w:val="1"/>
          <w:sz w:val="24"/>
          <w:szCs w:val="24"/>
        </w:rPr>
      </w:pPr>
    </w:p>
    <w:p w14:paraId="736E984A">
      <w:pPr>
        <w:widowControl/>
        <w:spacing w:line="438" w:lineRule="atLeast"/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drawing>
          <wp:inline distT="0" distB="0" distL="114300" distR="114300">
            <wp:extent cx="2106295" cy="2278380"/>
            <wp:effectExtent l="0" t="0" r="8255" b="7620"/>
            <wp:docPr id="3" name="图片 1" descr="WL-HL-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WL-HL-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06295" cy="227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AE539C">
      <w:pPr>
        <w:rPr>
          <w:rFonts w:hint="eastAsia" w:ascii="思源黑体 CN Light" w:hAnsi="思源黑体 CN Light" w:eastAsia="思源黑体 CN Light" w:cs="思源黑体 CN Light"/>
          <w:color w:val="000000"/>
          <w:kern w:val="1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color w:val="000000"/>
          <w:kern w:val="1"/>
          <w:sz w:val="24"/>
          <w:szCs w:val="24"/>
        </w:rPr>
        <w:t>产品特点：</w:t>
      </w:r>
    </w:p>
    <w:p w14:paraId="51FFF5C0">
      <w:pPr>
        <w:rPr>
          <w:rFonts w:hint="eastAsia" w:ascii="思源黑体 CN Light" w:hAnsi="思源黑体 CN Light" w:eastAsia="思源黑体 CN Light" w:cs="思源黑体 CN Light"/>
          <w:color w:val="000000"/>
          <w:kern w:val="1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</w:t>
      </w:r>
      <w:r>
        <w:rPr>
          <w:rFonts w:hint="eastAsia" w:ascii="思源黑体 CN Light" w:hAnsi="思源黑体 CN Light" w:eastAsia="思源黑体 CN Light" w:cs="思源黑体 CN Light"/>
          <w:color w:val="000000"/>
          <w:kern w:val="1"/>
          <w:sz w:val="24"/>
          <w:szCs w:val="24"/>
        </w:rPr>
        <w:t>采用高集成度16位处理器，极低功耗，超强稳定。内置欧司郎高强度发光芯片。</w:t>
      </w:r>
    </w:p>
    <w:p w14:paraId="524EADE5">
      <w:pPr>
        <w:rPr>
          <w:rFonts w:hint="eastAsia" w:ascii="思源黑体 CN Light" w:hAnsi="思源黑体 CN Light" w:eastAsia="思源黑体 CN Light" w:cs="思源黑体 CN Light"/>
          <w:color w:val="000000"/>
          <w:kern w:val="1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</w:t>
      </w:r>
      <w:r>
        <w:rPr>
          <w:rFonts w:hint="eastAsia" w:ascii="思源黑体 CN Light" w:hAnsi="思源黑体 CN Light" w:eastAsia="思源黑体 CN Light" w:cs="思源黑体 CN Light"/>
          <w:color w:val="000000"/>
          <w:kern w:val="1"/>
          <w:sz w:val="24"/>
          <w:szCs w:val="24"/>
        </w:rPr>
        <w:t>采用0.9°精密电机驱动，低速平稳，运行平滑无抖动，选用工业级器件，适合各种极恶天气。</w:t>
      </w:r>
    </w:p>
    <w:p w14:paraId="07F146D6">
      <w:pPr>
        <w:rPr>
          <w:rFonts w:hint="eastAsia" w:ascii="思源黑体 CN Light" w:hAnsi="思源黑体 CN Light" w:eastAsia="思源黑体 CN Light" w:cs="思源黑体 CN Light"/>
          <w:color w:val="000000"/>
          <w:kern w:val="1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</w:t>
      </w:r>
      <w:r>
        <w:rPr>
          <w:rFonts w:hint="eastAsia" w:ascii="思源黑体 CN Light" w:hAnsi="思源黑体 CN Light" w:eastAsia="思源黑体 CN Light" w:cs="思源黑体 CN Light"/>
          <w:color w:val="000000"/>
          <w:kern w:val="1"/>
          <w:sz w:val="24"/>
          <w:szCs w:val="24"/>
        </w:rPr>
        <w:t>结构精巧。</w:t>
      </w:r>
    </w:p>
    <w:p w14:paraId="68974203">
      <w:pPr>
        <w:rPr>
          <w:rFonts w:hint="eastAsia" w:ascii="思源黑体 CN Light" w:hAnsi="思源黑体 CN Light" w:eastAsia="思源黑体 CN Light" w:cs="思源黑体 CN Light"/>
          <w:color w:val="000000"/>
          <w:kern w:val="1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</w:t>
      </w:r>
      <w:r>
        <w:rPr>
          <w:rFonts w:hint="eastAsia" w:ascii="思源黑体 CN Light" w:hAnsi="思源黑体 CN Light" w:eastAsia="思源黑体 CN Light" w:cs="思源黑体 CN Light"/>
          <w:color w:val="000000"/>
          <w:kern w:val="1"/>
          <w:sz w:val="24"/>
          <w:szCs w:val="24"/>
        </w:rPr>
        <w:t>可倒装用于室内、室内安装监控。</w:t>
      </w:r>
    </w:p>
    <w:p w14:paraId="0281A17D">
      <w:pPr>
        <w:rPr>
          <w:rFonts w:hint="eastAsia" w:ascii="思源黑体 CN Light" w:hAnsi="思源黑体 CN Light" w:eastAsia="思源黑体 CN Light" w:cs="思源黑体 CN Light"/>
          <w:color w:val="000000"/>
          <w:kern w:val="1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</w:t>
      </w:r>
      <w:r>
        <w:rPr>
          <w:rFonts w:hint="eastAsia" w:ascii="思源黑体 CN Light" w:hAnsi="思源黑体 CN Light" w:eastAsia="思源黑体 CN Light" w:cs="思源黑体 CN Light"/>
          <w:color w:val="000000"/>
          <w:kern w:val="1"/>
          <w:sz w:val="24"/>
          <w:szCs w:val="24"/>
        </w:rPr>
        <w:t>可正装用于视频会议系统。</w:t>
      </w:r>
    </w:p>
    <w:p w14:paraId="19407CDD">
      <w:pPr>
        <w:rPr>
          <w:rFonts w:hint="eastAsia" w:ascii="思源黑体 CN Light" w:hAnsi="思源黑体 CN Light" w:eastAsia="思源黑体 CN Light" w:cs="思源黑体 CN Light"/>
          <w:color w:val="000000"/>
          <w:kern w:val="1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</w:t>
      </w:r>
      <w:r>
        <w:rPr>
          <w:rFonts w:hint="eastAsia" w:ascii="思源黑体 CN Light" w:hAnsi="思源黑体 CN Light" w:eastAsia="思源黑体 CN Light" w:cs="思源黑体 CN Light"/>
          <w:color w:val="000000"/>
          <w:kern w:val="1"/>
          <w:sz w:val="24"/>
          <w:szCs w:val="24"/>
        </w:rPr>
        <w:t>配合强力磁铁，用于可携带式室外车载监控。</w:t>
      </w:r>
    </w:p>
    <w:p w14:paraId="2838F216">
      <w:pPr>
        <w:rPr>
          <w:rFonts w:hint="eastAsia" w:ascii="思源黑体 CN Light" w:hAnsi="思源黑体 CN Light" w:eastAsia="思源黑体 CN Light" w:cs="思源黑体 CN Light"/>
          <w:color w:val="000000"/>
          <w:kern w:val="1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</w:t>
      </w:r>
      <w:r>
        <w:rPr>
          <w:rFonts w:hint="eastAsia" w:ascii="思源黑体 CN Light" w:hAnsi="思源黑体 CN Light" w:eastAsia="思源黑体 CN Light" w:cs="思源黑体 CN Light"/>
          <w:color w:val="000000"/>
          <w:kern w:val="1"/>
          <w:sz w:val="24"/>
          <w:szCs w:val="24"/>
        </w:rPr>
        <w:t>配合减震器定点安装，可实现全天侯车载监控。</w:t>
      </w:r>
    </w:p>
    <w:p w14:paraId="20E17B6A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5539BE2F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球机性能：</w:t>
      </w:r>
    </w:p>
    <w:tbl>
      <w:tblPr>
        <w:tblStyle w:val="4"/>
        <w:tblW w:w="8120" w:type="dxa"/>
        <w:tblCellSpacing w:w="20" w:type="dxa"/>
        <w:tblInd w:w="98" w:type="dxa"/>
        <w:tblBorders>
          <w:top w:val="outset" w:color="auto" w:sz="2" w:space="0"/>
          <w:left w:val="outset" w:color="auto" w:sz="2" w:space="0"/>
          <w:bottom w:val="outset" w:color="auto" w:sz="2" w:space="0"/>
          <w:right w:val="outset" w:color="auto" w:sz="2" w:space="0"/>
          <w:insideH w:val="outset" w:color="auto" w:sz="2" w:space="0"/>
          <w:insideV w:val="outset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0"/>
        <w:gridCol w:w="4310"/>
      </w:tblGrid>
      <w:tr w14:paraId="1261A95A">
        <w:tblPrEx>
          <w:tblBorders>
            <w:top w:val="outset" w:color="auto" w:sz="2" w:space="0"/>
            <w:left w:val="outset" w:color="auto" w:sz="2" w:space="0"/>
            <w:bottom w:val="outset" w:color="auto" w:sz="2" w:space="0"/>
            <w:right w:val="outset" w:color="auto" w:sz="2" w:space="0"/>
            <w:insideH w:val="outset" w:color="auto" w:sz="2" w:space="0"/>
            <w:insideV w:val="outset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CellSpacing w:w="20" w:type="dxa"/>
        </w:trPr>
        <w:tc>
          <w:tcPr>
            <w:tcW w:w="3880" w:type="dxa"/>
            <w:noWrap/>
            <w:vAlign w:val="center"/>
          </w:tcPr>
          <w:p w14:paraId="3A6CD796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水平预置位速度</w:t>
            </w:r>
          </w:p>
        </w:tc>
        <w:tc>
          <w:tcPr>
            <w:tcW w:w="4240" w:type="dxa"/>
            <w:noWrap/>
            <w:vAlign w:val="center"/>
          </w:tcPr>
          <w:p w14:paraId="316A8600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300°/S</w:t>
            </w:r>
          </w:p>
        </w:tc>
      </w:tr>
      <w:tr w14:paraId="1DBCC232">
        <w:tblPrEx>
          <w:tblBorders>
            <w:top w:val="outset" w:color="auto" w:sz="2" w:space="0"/>
            <w:left w:val="outset" w:color="auto" w:sz="2" w:space="0"/>
            <w:bottom w:val="outset" w:color="auto" w:sz="2" w:space="0"/>
            <w:right w:val="outset" w:color="auto" w:sz="2" w:space="0"/>
            <w:insideH w:val="outset" w:color="auto" w:sz="2" w:space="0"/>
            <w:insideV w:val="outset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CellSpacing w:w="20" w:type="dxa"/>
        </w:trPr>
        <w:tc>
          <w:tcPr>
            <w:tcW w:w="3880" w:type="dxa"/>
            <w:noWrap/>
            <w:vAlign w:val="center"/>
          </w:tcPr>
          <w:p w14:paraId="33C28C73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垂直预置位速度</w:t>
            </w:r>
          </w:p>
        </w:tc>
        <w:tc>
          <w:tcPr>
            <w:tcW w:w="4240" w:type="dxa"/>
            <w:noWrap/>
            <w:vAlign w:val="center"/>
          </w:tcPr>
          <w:p w14:paraId="2FA6DA3C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120°/S</w:t>
            </w:r>
          </w:p>
        </w:tc>
      </w:tr>
      <w:tr w14:paraId="625F6BC8">
        <w:tblPrEx>
          <w:tblBorders>
            <w:top w:val="outset" w:color="auto" w:sz="2" w:space="0"/>
            <w:left w:val="outset" w:color="auto" w:sz="2" w:space="0"/>
            <w:bottom w:val="outset" w:color="auto" w:sz="2" w:space="0"/>
            <w:right w:val="outset" w:color="auto" w:sz="2" w:space="0"/>
            <w:insideH w:val="outset" w:color="auto" w:sz="2" w:space="0"/>
            <w:insideV w:val="outset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CellSpacing w:w="20" w:type="dxa"/>
        </w:trPr>
        <w:tc>
          <w:tcPr>
            <w:tcW w:w="3880" w:type="dxa"/>
            <w:noWrap/>
            <w:vAlign w:val="center"/>
          </w:tcPr>
          <w:p w14:paraId="6B8F3916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水平手动控制速度</w:t>
            </w:r>
          </w:p>
        </w:tc>
        <w:tc>
          <w:tcPr>
            <w:tcW w:w="4240" w:type="dxa"/>
            <w:noWrap/>
            <w:vAlign w:val="center"/>
          </w:tcPr>
          <w:p w14:paraId="3255A82F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0°-220°/S</w:t>
            </w:r>
          </w:p>
        </w:tc>
      </w:tr>
      <w:tr w14:paraId="21A1EF4E">
        <w:tblPrEx>
          <w:tblBorders>
            <w:top w:val="outset" w:color="auto" w:sz="2" w:space="0"/>
            <w:left w:val="outset" w:color="auto" w:sz="2" w:space="0"/>
            <w:bottom w:val="outset" w:color="auto" w:sz="2" w:space="0"/>
            <w:right w:val="outset" w:color="auto" w:sz="2" w:space="0"/>
            <w:insideH w:val="outset" w:color="auto" w:sz="2" w:space="0"/>
            <w:insideV w:val="outset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CellSpacing w:w="20" w:type="dxa"/>
        </w:trPr>
        <w:tc>
          <w:tcPr>
            <w:tcW w:w="3880" w:type="dxa"/>
            <w:noWrap/>
            <w:vAlign w:val="center"/>
          </w:tcPr>
          <w:p w14:paraId="3B6EDC9F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垂直手动速度控制</w:t>
            </w:r>
          </w:p>
        </w:tc>
        <w:tc>
          <w:tcPr>
            <w:tcW w:w="4240" w:type="dxa"/>
            <w:noWrap/>
            <w:vAlign w:val="center"/>
          </w:tcPr>
          <w:p w14:paraId="2FCDC6AF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0°-90°/S</w:t>
            </w:r>
          </w:p>
        </w:tc>
      </w:tr>
      <w:tr w14:paraId="13E272AA">
        <w:tblPrEx>
          <w:tblBorders>
            <w:top w:val="outset" w:color="auto" w:sz="2" w:space="0"/>
            <w:left w:val="outset" w:color="auto" w:sz="2" w:space="0"/>
            <w:bottom w:val="outset" w:color="auto" w:sz="2" w:space="0"/>
            <w:right w:val="outset" w:color="auto" w:sz="2" w:space="0"/>
            <w:insideH w:val="outset" w:color="auto" w:sz="2" w:space="0"/>
            <w:insideV w:val="outset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CellSpacing w:w="20" w:type="dxa"/>
        </w:trPr>
        <w:tc>
          <w:tcPr>
            <w:tcW w:w="3880" w:type="dxa"/>
            <w:noWrap/>
            <w:vAlign w:val="center"/>
          </w:tcPr>
          <w:p w14:paraId="38B3E891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水平角度</w:t>
            </w:r>
          </w:p>
        </w:tc>
        <w:tc>
          <w:tcPr>
            <w:tcW w:w="4240" w:type="dxa"/>
            <w:noWrap/>
            <w:vAlign w:val="center"/>
          </w:tcPr>
          <w:p w14:paraId="46B44E1E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360°连续旋转</w:t>
            </w:r>
          </w:p>
        </w:tc>
      </w:tr>
      <w:tr w14:paraId="225B90F2">
        <w:tblPrEx>
          <w:tblBorders>
            <w:top w:val="outset" w:color="auto" w:sz="2" w:space="0"/>
            <w:left w:val="outset" w:color="auto" w:sz="2" w:space="0"/>
            <w:bottom w:val="outset" w:color="auto" w:sz="2" w:space="0"/>
            <w:right w:val="outset" w:color="auto" w:sz="2" w:space="0"/>
            <w:insideH w:val="outset" w:color="auto" w:sz="2" w:space="0"/>
            <w:insideV w:val="outset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CellSpacing w:w="20" w:type="dxa"/>
        </w:trPr>
        <w:tc>
          <w:tcPr>
            <w:tcW w:w="3880" w:type="dxa"/>
            <w:noWrap/>
            <w:vAlign w:val="center"/>
          </w:tcPr>
          <w:p w14:paraId="762766E5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垂直角度</w:t>
            </w:r>
          </w:p>
        </w:tc>
        <w:tc>
          <w:tcPr>
            <w:tcW w:w="4240" w:type="dxa"/>
            <w:noWrap/>
            <w:vAlign w:val="center"/>
          </w:tcPr>
          <w:p w14:paraId="19E17A44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90°（180°自动反转）</w:t>
            </w:r>
          </w:p>
        </w:tc>
      </w:tr>
      <w:tr w14:paraId="2CBC284F">
        <w:tblPrEx>
          <w:tblBorders>
            <w:top w:val="outset" w:color="auto" w:sz="2" w:space="0"/>
            <w:left w:val="outset" w:color="auto" w:sz="2" w:space="0"/>
            <w:bottom w:val="outset" w:color="auto" w:sz="2" w:space="0"/>
            <w:right w:val="outset" w:color="auto" w:sz="2" w:space="0"/>
            <w:insideH w:val="outset" w:color="auto" w:sz="2" w:space="0"/>
            <w:insideV w:val="outset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CellSpacing w:w="20" w:type="dxa"/>
        </w:trPr>
        <w:tc>
          <w:tcPr>
            <w:tcW w:w="3880" w:type="dxa"/>
            <w:noWrap/>
            <w:vAlign w:val="center"/>
          </w:tcPr>
          <w:p w14:paraId="65437743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预置点</w:t>
            </w:r>
          </w:p>
        </w:tc>
        <w:tc>
          <w:tcPr>
            <w:tcW w:w="4240" w:type="dxa"/>
            <w:noWrap/>
            <w:vAlign w:val="center"/>
          </w:tcPr>
          <w:p w14:paraId="6FD6D91F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256个预置位</w:t>
            </w:r>
          </w:p>
        </w:tc>
      </w:tr>
      <w:tr w14:paraId="15C3F26F">
        <w:tblPrEx>
          <w:tblBorders>
            <w:top w:val="outset" w:color="auto" w:sz="2" w:space="0"/>
            <w:left w:val="outset" w:color="auto" w:sz="2" w:space="0"/>
            <w:bottom w:val="outset" w:color="auto" w:sz="2" w:space="0"/>
            <w:right w:val="outset" w:color="auto" w:sz="2" w:space="0"/>
            <w:insideH w:val="outset" w:color="auto" w:sz="2" w:space="0"/>
            <w:insideV w:val="outset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CellSpacing w:w="20" w:type="dxa"/>
        </w:trPr>
        <w:tc>
          <w:tcPr>
            <w:tcW w:w="3880" w:type="dxa"/>
            <w:noWrap/>
            <w:vAlign w:val="center"/>
          </w:tcPr>
          <w:p w14:paraId="5927023D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相对湿度</w:t>
            </w:r>
          </w:p>
        </w:tc>
        <w:tc>
          <w:tcPr>
            <w:tcW w:w="4240" w:type="dxa"/>
            <w:noWrap/>
            <w:vAlign w:val="center"/>
          </w:tcPr>
          <w:p w14:paraId="3739D9F4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90%</w:t>
            </w:r>
          </w:p>
        </w:tc>
      </w:tr>
      <w:tr w14:paraId="153DD506">
        <w:tblPrEx>
          <w:tblBorders>
            <w:top w:val="outset" w:color="auto" w:sz="2" w:space="0"/>
            <w:left w:val="outset" w:color="auto" w:sz="2" w:space="0"/>
            <w:bottom w:val="outset" w:color="auto" w:sz="2" w:space="0"/>
            <w:right w:val="outset" w:color="auto" w:sz="2" w:space="0"/>
            <w:insideH w:val="outset" w:color="auto" w:sz="2" w:space="0"/>
            <w:insideV w:val="outset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CellSpacing w:w="20" w:type="dxa"/>
        </w:trPr>
        <w:tc>
          <w:tcPr>
            <w:tcW w:w="3880" w:type="dxa"/>
            <w:noWrap/>
            <w:vAlign w:val="center"/>
          </w:tcPr>
          <w:p w14:paraId="54CFC621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防护等级</w:t>
            </w:r>
          </w:p>
        </w:tc>
        <w:tc>
          <w:tcPr>
            <w:tcW w:w="4240" w:type="dxa"/>
            <w:noWrap/>
            <w:vAlign w:val="center"/>
          </w:tcPr>
          <w:p w14:paraId="0BE09751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IP66</w:t>
            </w:r>
          </w:p>
        </w:tc>
      </w:tr>
      <w:tr w14:paraId="76EBD8D7">
        <w:tblPrEx>
          <w:tblBorders>
            <w:top w:val="outset" w:color="auto" w:sz="2" w:space="0"/>
            <w:left w:val="outset" w:color="auto" w:sz="2" w:space="0"/>
            <w:bottom w:val="outset" w:color="auto" w:sz="2" w:space="0"/>
            <w:right w:val="outset" w:color="auto" w:sz="2" w:space="0"/>
            <w:insideH w:val="outset" w:color="auto" w:sz="2" w:space="0"/>
            <w:insideV w:val="outset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CellSpacing w:w="20" w:type="dxa"/>
        </w:trPr>
        <w:tc>
          <w:tcPr>
            <w:tcW w:w="3880" w:type="dxa"/>
            <w:noWrap/>
            <w:vAlign w:val="center"/>
          </w:tcPr>
          <w:p w14:paraId="2BD862B6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工作温度</w:t>
            </w:r>
          </w:p>
        </w:tc>
        <w:tc>
          <w:tcPr>
            <w:tcW w:w="4240" w:type="dxa"/>
            <w:noWrap/>
            <w:vAlign w:val="center"/>
          </w:tcPr>
          <w:p w14:paraId="258E5793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-35°-+55°　</w:t>
            </w:r>
          </w:p>
        </w:tc>
      </w:tr>
      <w:tr w14:paraId="32C7A129">
        <w:tblPrEx>
          <w:tblBorders>
            <w:top w:val="outset" w:color="auto" w:sz="2" w:space="0"/>
            <w:left w:val="outset" w:color="auto" w:sz="2" w:space="0"/>
            <w:bottom w:val="outset" w:color="auto" w:sz="2" w:space="0"/>
            <w:right w:val="outset" w:color="auto" w:sz="2" w:space="0"/>
            <w:insideH w:val="outset" w:color="auto" w:sz="2" w:space="0"/>
            <w:insideV w:val="outset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CellSpacing w:w="20" w:type="dxa"/>
        </w:trPr>
        <w:tc>
          <w:tcPr>
            <w:tcW w:w="3880" w:type="dxa"/>
            <w:noWrap/>
            <w:vAlign w:val="center"/>
          </w:tcPr>
          <w:p w14:paraId="4E7CFD9B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电源输入</w:t>
            </w:r>
          </w:p>
        </w:tc>
        <w:tc>
          <w:tcPr>
            <w:tcW w:w="4240" w:type="dxa"/>
            <w:noWrap/>
            <w:vAlign w:val="center"/>
          </w:tcPr>
          <w:p w14:paraId="17F2E66B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DC11V-DC18V</w:t>
            </w:r>
          </w:p>
        </w:tc>
      </w:tr>
      <w:tr w14:paraId="6B128A18">
        <w:tblPrEx>
          <w:tblBorders>
            <w:top w:val="outset" w:color="auto" w:sz="2" w:space="0"/>
            <w:left w:val="outset" w:color="auto" w:sz="2" w:space="0"/>
            <w:bottom w:val="outset" w:color="auto" w:sz="2" w:space="0"/>
            <w:right w:val="outset" w:color="auto" w:sz="2" w:space="0"/>
            <w:insideH w:val="outset" w:color="auto" w:sz="2" w:space="0"/>
            <w:insideV w:val="outset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CellSpacing w:w="20" w:type="dxa"/>
        </w:trPr>
        <w:tc>
          <w:tcPr>
            <w:tcW w:w="3880" w:type="dxa"/>
            <w:noWrap/>
            <w:vAlign w:val="center"/>
          </w:tcPr>
          <w:p w14:paraId="7FE2805F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重量</w:t>
            </w:r>
          </w:p>
        </w:tc>
        <w:tc>
          <w:tcPr>
            <w:tcW w:w="4240" w:type="dxa"/>
            <w:noWrap/>
            <w:vAlign w:val="center"/>
          </w:tcPr>
          <w:p w14:paraId="0EF3EB98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2.5kg</w:t>
            </w:r>
          </w:p>
        </w:tc>
      </w:tr>
    </w:tbl>
    <w:p w14:paraId="3B64743B">
      <w:pPr>
        <w:rPr>
          <w:rFonts w:hint="default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</w:p>
    <w:p w14:paraId="484EC918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  <w:t>尺寸</w:t>
      </w:r>
    </w:p>
    <w:p w14:paraId="1B973900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drawing>
          <wp:inline distT="0" distB="0" distL="114300" distR="114300">
            <wp:extent cx="1379220" cy="2092325"/>
            <wp:effectExtent l="0" t="0" r="508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79220" cy="209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drawing>
          <wp:inline distT="0" distB="0" distL="114300" distR="114300">
            <wp:extent cx="3385820" cy="1032510"/>
            <wp:effectExtent l="0" t="0" r="5080" b="8890"/>
            <wp:docPr id="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85820" cy="103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DB23F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4610043B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449CB4C2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56BD00B6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5EBF91C9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型号注释示例：</w:t>
      </w:r>
    </w:p>
    <w:p w14:paraId="7E0628DB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drawing>
          <wp:inline distT="0" distB="0" distL="114300" distR="114300">
            <wp:extent cx="5571490" cy="3423920"/>
            <wp:effectExtent l="0" t="0" r="10160" b="508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71490" cy="342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30609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9E74F9"/>
    <w:rsid w:val="003E6B21"/>
    <w:rsid w:val="00414C63"/>
    <w:rsid w:val="00CD0CAE"/>
    <w:rsid w:val="3746159C"/>
    <w:rsid w:val="409E74F9"/>
    <w:rsid w:val="5A3B1C80"/>
    <w:rsid w:val="60004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emf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3</Pages>
  <Words>291</Words>
  <Characters>338</Characters>
  <Lines>2</Lines>
  <Paragraphs>1</Paragraphs>
  <TotalTime>0</TotalTime>
  <ScaleCrop>false</ScaleCrop>
  <LinksUpToDate>false</LinksUpToDate>
  <CharactersWithSpaces>339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2021-04-23T08:42:00Z</dcterms:created>
  <dc:creator>阿Yu</dc:creator>
  <cp:lastModifiedBy>笑炎</cp:lastModifiedBy>
  <dcterms:modified xsi:type="dcterms:W3CDTF">2025-03-05T03:17:14Z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D0256C38F7A648DCA8BAEBC14A1990F5</vt:lpwstr>
  </property>
  <property fmtid="{D5CDD505-2E9C-101B-9397-08002B2CF9AE}" pid="4" name="KSOTemplateDocerSaveRecord">
    <vt:lpwstr>eyJoZGlkIjoiNjNhNWVmOGNhYzc2ZTdjN2IxNTIwZjEwN2U3NjQ5Y2EiLCJ1c2VySWQiOiI3MzI2MTM0MzkifQ==</vt:lpwstr>
  </property>
</Properties>
</file>