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72BDA">
      <w:pPr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 xml:space="preserve">型号： 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color w:val="000000"/>
          <w:kern w:val="0"/>
          <w:sz w:val="24"/>
          <w:szCs w:val="24"/>
        </w:rPr>
        <w:t>MX-AHDL-610A-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color w:val="000000"/>
          <w:kern w:val="0"/>
          <w:sz w:val="24"/>
          <w:szCs w:val="24"/>
          <w:lang w:val="en-US" w:eastAsia="zh-CN"/>
        </w:rPr>
        <w:t>N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color w:val="000000"/>
          <w:kern w:val="0"/>
          <w:sz w:val="24"/>
          <w:szCs w:val="24"/>
        </w:rPr>
        <w:t>NP-005H</w:t>
      </w:r>
    </w:p>
    <w:p w14:paraId="23DD169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868930" cy="2033905"/>
            <wp:effectExtent l="0" t="0" r="1270" b="10795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rcRect b="6555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92E20">
      <w:pPr>
        <w:pStyle w:val="9"/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</w:p>
    <w:p w14:paraId="62F927B9">
      <w:pPr>
        <w:keepNext w:val="0"/>
        <w:keepLines w:val="0"/>
        <w:widowControl/>
        <w:suppressLineNumbers w:val="0"/>
        <w:jc w:val="left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</w:p>
    <w:p w14:paraId="0E06B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产品特性</w:t>
      </w:r>
    </w:p>
    <w:p w14:paraId="07EB4C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1.设计精美，做工精湛，线条精准，结构严谨，体现了最高技术水平；</w:t>
      </w:r>
    </w:p>
    <w:p w14:paraId="7DCC83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2.一体化结构，防震、防尘、防雾设计；</w:t>
      </w:r>
    </w:p>
    <w:p w14:paraId="02B3A8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3.适用于各种车辆；</w:t>
      </w:r>
    </w:p>
    <w:p w14:paraId="618FD3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4.图像：正像/镜像；</w:t>
      </w:r>
    </w:p>
    <w:p w14:paraId="20D152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5.颜色：白色；</w:t>
      </w:r>
    </w:p>
    <w:p w14:paraId="208918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20" w:after="2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en-US" w:eastAsia="zh-CN" w:bidi="ar"/>
        </w:rPr>
        <w:t>6.专用航空接口设计；</w:t>
      </w:r>
    </w:p>
    <w:p w14:paraId="28F51BEC">
      <w:pPr>
        <w:rPr>
          <w:rFonts w:hint="eastAsia" w:ascii="思源黑体 CN Light" w:hAnsi="思源黑体 CN Light" w:eastAsia="思源黑体 CN Light" w:cs="思源黑体 CN Light"/>
        </w:rPr>
      </w:pPr>
    </w:p>
    <w:p w14:paraId="32406139">
      <w:pPr>
        <w:rPr>
          <w:rFonts w:hint="eastAsia" w:ascii="思源黑体 CN Light" w:hAnsi="思源黑体 CN Light" w:eastAsia="思源黑体 CN Light" w:cs="思源黑体 CN Light"/>
        </w:rPr>
      </w:pPr>
    </w:p>
    <w:p w14:paraId="23EE20E9">
      <w:pPr>
        <w:rPr>
          <w:rFonts w:hint="eastAsia" w:ascii="思源黑体 CN Light" w:hAnsi="思源黑体 CN Light" w:eastAsia="思源黑体 CN Light" w:cs="思源黑体 CN Light"/>
        </w:rPr>
      </w:pPr>
    </w:p>
    <w:p w14:paraId="66714F69">
      <w:pPr>
        <w:rPr>
          <w:rFonts w:hint="eastAsia" w:ascii="思源黑体 CN Light" w:hAnsi="思源黑体 CN Light" w:eastAsia="思源黑体 CN Light" w:cs="思源黑体 CN Light"/>
        </w:rPr>
      </w:pPr>
    </w:p>
    <w:p w14:paraId="4E67B955">
      <w:pPr>
        <w:rPr>
          <w:rFonts w:hint="eastAsia" w:ascii="思源黑体 CN Light" w:hAnsi="思源黑体 CN Light" w:eastAsia="思源黑体 CN Light" w:cs="思源黑体 CN Light"/>
        </w:rPr>
      </w:pPr>
    </w:p>
    <w:p w14:paraId="4C35F1A4">
      <w:pPr>
        <w:rPr>
          <w:rFonts w:hint="eastAsia" w:ascii="思源黑体 CN Light" w:hAnsi="思源黑体 CN Light" w:eastAsia="思源黑体 CN Light" w:cs="思源黑体 CN Light"/>
        </w:rPr>
      </w:pPr>
    </w:p>
    <w:p w14:paraId="07A18462">
      <w:pPr>
        <w:rPr>
          <w:rFonts w:hint="eastAsia" w:ascii="思源黑体 CN Light" w:hAnsi="思源黑体 CN Light" w:eastAsia="思源黑体 CN Light" w:cs="思源黑体 CN Light"/>
        </w:rPr>
      </w:pPr>
    </w:p>
    <w:p w14:paraId="4933FE99">
      <w:pPr>
        <w:ind w:firstLine="240" w:firstLineChars="100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/>
        </w:rPr>
        <w:t>规格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参数</w:t>
      </w:r>
    </w:p>
    <w:tbl>
      <w:tblPr>
        <w:tblStyle w:val="13"/>
        <w:tblpPr w:leftFromText="180" w:rightFromText="180" w:vertAnchor="page" w:horzAnchor="margin" w:tblpX="426" w:tblpY="4611"/>
        <w:tblW w:w="4751" w:type="pct"/>
        <w:tblCellSpacing w:w="20" w:type="dxa"/>
        <w:tblInd w:w="0" w:type="dxa"/>
        <w:tblBorders>
          <w:top w:val="outset" w:color="auto" w:sz="2" w:space="0"/>
          <w:left w:val="outset" w:color="auto" w:sz="2" w:space="0"/>
          <w:bottom w:val="outset" w:color="auto" w:sz="2" w:space="0"/>
          <w:right w:val="outset" w:color="auto" w:sz="2" w:space="0"/>
          <w:insideH w:val="outset" w:color="auto" w:sz="2" w:space="0"/>
          <w:insideV w:val="outset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6090"/>
      </w:tblGrid>
      <w:tr w14:paraId="60F3C8CA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284BCE64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3681" w:type="pct"/>
            <w:vAlign w:val="center"/>
          </w:tcPr>
          <w:p w14:paraId="7F39A174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MX-AHDH-610A-NNP-005H,2.8mm</w:t>
            </w:r>
          </w:p>
        </w:tc>
      </w:tr>
      <w:tr w14:paraId="72C7DF11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tblCellSpacing w:w="20" w:type="dxa"/>
        </w:trPr>
        <w:tc>
          <w:tcPr>
            <w:tcW w:w="1245" w:type="pct"/>
            <w:vAlign w:val="center"/>
          </w:tcPr>
          <w:p w14:paraId="036ACBB9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图像传感器</w:t>
            </w:r>
          </w:p>
        </w:tc>
        <w:tc>
          <w:tcPr>
            <w:tcW w:w="3681" w:type="pct"/>
            <w:vAlign w:val="center"/>
          </w:tcPr>
          <w:p w14:paraId="33161F9F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1/2.7英寸CMOS AHD</w:t>
            </w:r>
          </w:p>
        </w:tc>
      </w:tr>
      <w:tr w14:paraId="4B39EF3C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78C573E0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图片像素</w:t>
            </w:r>
          </w:p>
        </w:tc>
        <w:tc>
          <w:tcPr>
            <w:tcW w:w="3681" w:type="pct"/>
            <w:vAlign w:val="center"/>
          </w:tcPr>
          <w:p w14:paraId="49FB5D5F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1920(h)*1080(v)</w:t>
            </w:r>
          </w:p>
        </w:tc>
      </w:tr>
      <w:tr w14:paraId="0F2D5359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89BB5F4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视频帧率</w:t>
            </w:r>
          </w:p>
        </w:tc>
        <w:tc>
          <w:tcPr>
            <w:tcW w:w="3681" w:type="pct"/>
            <w:vAlign w:val="center"/>
          </w:tcPr>
          <w:p w14:paraId="58A00D5B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PAL：1080p@25fps，NTSC：1080p@30fps</w:t>
            </w:r>
          </w:p>
        </w:tc>
      </w:tr>
      <w:tr w14:paraId="38E418C8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58E33766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3681" w:type="pct"/>
            <w:vAlign w:val="center"/>
          </w:tcPr>
          <w:p w14:paraId="1FD13B7E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AHD</w:t>
            </w:r>
          </w:p>
        </w:tc>
      </w:tr>
      <w:tr w14:paraId="1E612869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2197797D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传输距离</w:t>
            </w:r>
          </w:p>
        </w:tc>
        <w:tc>
          <w:tcPr>
            <w:tcW w:w="3681" w:type="pct"/>
            <w:vAlign w:val="center"/>
          </w:tcPr>
          <w:p w14:paraId="4B1C792A">
            <w:pPr>
              <w:ind w:firstLine="240" w:firstLine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通过75-3同轴电缆超过500米</w:t>
            </w:r>
          </w:p>
        </w:tc>
      </w:tr>
      <w:tr w14:paraId="6F011CD0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10580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3681" w:type="pct"/>
            <w:vAlign w:val="center"/>
          </w:tcPr>
          <w:p w14:paraId="1C868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白天：0.01Lux，0Lux(IR ON)</w:t>
            </w:r>
          </w:p>
        </w:tc>
      </w:tr>
      <w:tr w14:paraId="580101EE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18BB5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镜头</w:t>
            </w:r>
          </w:p>
        </w:tc>
        <w:tc>
          <w:tcPr>
            <w:tcW w:w="3681" w:type="pct"/>
            <w:vAlign w:val="center"/>
          </w:tcPr>
          <w:p w14:paraId="66B56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2.8毫米</w:t>
            </w:r>
          </w:p>
        </w:tc>
      </w:tr>
      <w:tr w14:paraId="535761E8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B68F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角度</w:t>
            </w:r>
          </w:p>
        </w:tc>
        <w:tc>
          <w:tcPr>
            <w:tcW w:w="3681" w:type="pct"/>
            <w:vAlign w:val="center"/>
          </w:tcPr>
          <w:p w14:paraId="15FA7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可选</w:t>
            </w:r>
            <w:bookmarkStart w:id="0" w:name="_GoBack"/>
            <w:bookmarkEnd w:id="0"/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90°/100°/105°</w:t>
            </w:r>
          </w:p>
        </w:tc>
      </w:tr>
      <w:tr w14:paraId="3C19286D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39B3E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同步系统</w:t>
            </w:r>
          </w:p>
        </w:tc>
        <w:tc>
          <w:tcPr>
            <w:tcW w:w="3681" w:type="pct"/>
            <w:vAlign w:val="center"/>
          </w:tcPr>
          <w:p w14:paraId="44BA5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内部同步</w:t>
            </w:r>
          </w:p>
        </w:tc>
      </w:tr>
      <w:tr w14:paraId="3DAF783A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2C30A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电子快门</w:t>
            </w:r>
          </w:p>
        </w:tc>
        <w:tc>
          <w:tcPr>
            <w:tcW w:w="3681" w:type="pct"/>
            <w:vAlign w:val="center"/>
          </w:tcPr>
          <w:p w14:paraId="61ACC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PAL：1/25-1/50000秒，NTSC：1/30-1/60000秒</w:t>
            </w:r>
          </w:p>
        </w:tc>
      </w:tr>
      <w:tr w14:paraId="316873DF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FA41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3681" w:type="pct"/>
            <w:vAlign w:val="center"/>
          </w:tcPr>
          <w:p w14:paraId="251BA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超过50dB</w:t>
            </w:r>
          </w:p>
        </w:tc>
      </w:tr>
      <w:tr w14:paraId="27009D4F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F321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日夜两用</w:t>
            </w:r>
          </w:p>
        </w:tc>
        <w:tc>
          <w:tcPr>
            <w:tcW w:w="3681" w:type="pct"/>
            <w:vAlign w:val="center"/>
          </w:tcPr>
          <w:p w14:paraId="0EFD5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自动(ICR)/颜色/B/W</w:t>
            </w:r>
          </w:p>
        </w:tc>
      </w:tr>
      <w:tr w14:paraId="431E4880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5D9FA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红外线LED</w:t>
            </w:r>
          </w:p>
        </w:tc>
        <w:tc>
          <w:tcPr>
            <w:tcW w:w="3681" w:type="pct"/>
            <w:vAlign w:val="center"/>
          </w:tcPr>
          <w:p w14:paraId="511F9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1200万*Φ5*12 pcs LED</w:t>
            </w:r>
          </w:p>
        </w:tc>
      </w:tr>
      <w:tr w14:paraId="339A0C9C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7BD01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红外距离</w:t>
            </w:r>
          </w:p>
        </w:tc>
        <w:tc>
          <w:tcPr>
            <w:tcW w:w="3681" w:type="pct"/>
            <w:vAlign w:val="center"/>
          </w:tcPr>
          <w:p w14:paraId="7A268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10-15米</w:t>
            </w:r>
          </w:p>
        </w:tc>
      </w:tr>
      <w:tr w14:paraId="1C085731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37E28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OSD菜单</w:t>
            </w:r>
          </w:p>
        </w:tc>
        <w:tc>
          <w:tcPr>
            <w:tcW w:w="3681" w:type="pct"/>
            <w:vAlign w:val="center"/>
          </w:tcPr>
          <w:p w14:paraId="07FD5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支持</w:t>
            </w:r>
          </w:p>
        </w:tc>
      </w:tr>
      <w:tr w14:paraId="200840ED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705B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同轴线控制</w:t>
            </w:r>
          </w:p>
        </w:tc>
        <w:tc>
          <w:tcPr>
            <w:tcW w:w="3681" w:type="pct"/>
            <w:vAlign w:val="center"/>
          </w:tcPr>
          <w:p w14:paraId="00B44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支持</w:t>
            </w:r>
          </w:p>
        </w:tc>
      </w:tr>
      <w:tr w14:paraId="6CFCF5EC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77AF8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OSD/UTC语言</w:t>
            </w:r>
          </w:p>
        </w:tc>
        <w:tc>
          <w:tcPr>
            <w:tcW w:w="3681" w:type="pct"/>
            <w:vAlign w:val="center"/>
          </w:tcPr>
          <w:p w14:paraId="23A78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EN、CN、DE、FRA、IT、ES、PL、RU、PT、NL、TR</w:t>
            </w:r>
          </w:p>
        </w:tc>
      </w:tr>
      <w:tr w14:paraId="05B809C0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3F733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宽动态</w:t>
            </w:r>
          </w:p>
        </w:tc>
        <w:tc>
          <w:tcPr>
            <w:tcW w:w="3681" w:type="pct"/>
            <w:vAlign w:val="center"/>
          </w:tcPr>
          <w:p w14:paraId="43148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支持</w:t>
            </w:r>
          </w:p>
        </w:tc>
      </w:tr>
      <w:tr w14:paraId="030D51A5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005AC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减少噪音</w:t>
            </w:r>
          </w:p>
        </w:tc>
        <w:tc>
          <w:tcPr>
            <w:tcW w:w="3681" w:type="pct"/>
            <w:vAlign w:val="center"/>
          </w:tcPr>
          <w:p w14:paraId="3662B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三维降噪</w:t>
            </w:r>
          </w:p>
        </w:tc>
      </w:tr>
      <w:tr w14:paraId="4B31D2EF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3101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3681" w:type="pct"/>
            <w:vAlign w:val="center"/>
          </w:tcPr>
          <w:p w14:paraId="2EBAB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自动/手动</w:t>
            </w:r>
          </w:p>
        </w:tc>
      </w:tr>
      <w:tr w14:paraId="35F040C6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5175F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增益控制</w:t>
            </w:r>
          </w:p>
        </w:tc>
        <w:tc>
          <w:tcPr>
            <w:tcW w:w="3681" w:type="pct"/>
            <w:vAlign w:val="center"/>
          </w:tcPr>
          <w:p w14:paraId="35CA8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4927A29E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5CF1C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操作温度</w:t>
            </w:r>
          </w:p>
        </w:tc>
        <w:tc>
          <w:tcPr>
            <w:tcW w:w="3681" w:type="pct"/>
            <w:vAlign w:val="center"/>
          </w:tcPr>
          <w:p w14:paraId="435C5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-20°C~+70°C / 低于95%RH（无冷凝）</w:t>
            </w:r>
          </w:p>
        </w:tc>
      </w:tr>
      <w:tr w14:paraId="2F44DB07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10965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3681" w:type="pct"/>
            <w:vAlign w:val="center"/>
          </w:tcPr>
          <w:p w14:paraId="723D2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直流12V+/-20%</w:t>
            </w:r>
          </w:p>
        </w:tc>
      </w:tr>
      <w:tr w14:paraId="5E49F508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7F93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尺寸</w:t>
            </w:r>
          </w:p>
        </w:tc>
        <w:tc>
          <w:tcPr>
            <w:tcW w:w="3681" w:type="pct"/>
            <w:vAlign w:val="center"/>
          </w:tcPr>
          <w:p w14:paraId="57727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Φ120*62毫米</w:t>
            </w:r>
          </w:p>
        </w:tc>
      </w:tr>
      <w:tr w14:paraId="22A9A1C5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CellSpacing w:w="20" w:type="dxa"/>
        </w:trPr>
        <w:tc>
          <w:tcPr>
            <w:tcW w:w="1245" w:type="pct"/>
            <w:vAlign w:val="center"/>
          </w:tcPr>
          <w:p w14:paraId="564A1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外壳</w:t>
            </w:r>
          </w:p>
        </w:tc>
        <w:tc>
          <w:tcPr>
            <w:tcW w:w="3681" w:type="pct"/>
            <w:vAlign w:val="center"/>
          </w:tcPr>
          <w:p w14:paraId="745CA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象牙色金属外壳</w:t>
            </w:r>
          </w:p>
        </w:tc>
      </w:tr>
    </w:tbl>
    <w:p w14:paraId="4A66A1FF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A6B9A41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尺寸：</w:t>
      </w:r>
    </w:p>
    <w:p w14:paraId="471D04A6">
      <w:pPr>
        <w:tabs>
          <w:tab w:val="left" w:pos="2175"/>
        </w:tabs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847340" cy="3535680"/>
            <wp:effectExtent l="0" t="0" r="7620" b="1016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84734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797F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型号注释示例：</w:t>
      </w:r>
    </w:p>
    <w:p w14:paraId="3AC24A37">
      <w:pPr>
        <w:tabs>
          <w:tab w:val="left" w:pos="2175"/>
        </w:tabs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920490" cy="2409190"/>
            <wp:effectExtent l="0" t="0" r="381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701" w:right="1797" w:bottom="45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82B6D">
    <w:pPr>
      <w:spacing w:line="360" w:lineRule="auto"/>
      <w:ind w:left="756" w:leftChars="59" w:hanging="632" w:hangingChars="300"/>
      <w:jc w:val="center"/>
      <w:rPr>
        <w:rFonts w:ascii="Arial" w:hAnsi="Arial" w:cs="Arial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38"/>
    <w:rsid w:val="000275A8"/>
    <w:rsid w:val="0006731A"/>
    <w:rsid w:val="000679CF"/>
    <w:rsid w:val="00091972"/>
    <w:rsid w:val="000C4462"/>
    <w:rsid w:val="000D1CE9"/>
    <w:rsid w:val="000D58EB"/>
    <w:rsid w:val="000E1D1C"/>
    <w:rsid w:val="00101B3B"/>
    <w:rsid w:val="0010796B"/>
    <w:rsid w:val="00125FD8"/>
    <w:rsid w:val="001363DC"/>
    <w:rsid w:val="00140A4D"/>
    <w:rsid w:val="00153017"/>
    <w:rsid w:val="001637D4"/>
    <w:rsid w:val="00167E85"/>
    <w:rsid w:val="00192CEC"/>
    <w:rsid w:val="001C3D28"/>
    <w:rsid w:val="001D5597"/>
    <w:rsid w:val="001D5D8C"/>
    <w:rsid w:val="001E4ABD"/>
    <w:rsid w:val="0020268F"/>
    <w:rsid w:val="0023460B"/>
    <w:rsid w:val="002371A9"/>
    <w:rsid w:val="00245855"/>
    <w:rsid w:val="002A774E"/>
    <w:rsid w:val="002C08BD"/>
    <w:rsid w:val="002E2C51"/>
    <w:rsid w:val="002F75E0"/>
    <w:rsid w:val="00306195"/>
    <w:rsid w:val="003112BD"/>
    <w:rsid w:val="00371B94"/>
    <w:rsid w:val="003721E3"/>
    <w:rsid w:val="003A2B01"/>
    <w:rsid w:val="003B5127"/>
    <w:rsid w:val="003C6307"/>
    <w:rsid w:val="003C68EE"/>
    <w:rsid w:val="003F29D7"/>
    <w:rsid w:val="00432C81"/>
    <w:rsid w:val="0044362D"/>
    <w:rsid w:val="0045337D"/>
    <w:rsid w:val="00473276"/>
    <w:rsid w:val="00495E39"/>
    <w:rsid w:val="00496A09"/>
    <w:rsid w:val="004A1BFF"/>
    <w:rsid w:val="004A558C"/>
    <w:rsid w:val="004B75EF"/>
    <w:rsid w:val="004D7264"/>
    <w:rsid w:val="004E2D73"/>
    <w:rsid w:val="004E553C"/>
    <w:rsid w:val="00513573"/>
    <w:rsid w:val="0052354C"/>
    <w:rsid w:val="005308FC"/>
    <w:rsid w:val="005438DA"/>
    <w:rsid w:val="00550614"/>
    <w:rsid w:val="00557DC9"/>
    <w:rsid w:val="005709C0"/>
    <w:rsid w:val="00590323"/>
    <w:rsid w:val="005E12F5"/>
    <w:rsid w:val="006221A4"/>
    <w:rsid w:val="00655CF0"/>
    <w:rsid w:val="006627B0"/>
    <w:rsid w:val="00681A25"/>
    <w:rsid w:val="00697767"/>
    <w:rsid w:val="006E1CB4"/>
    <w:rsid w:val="006F1444"/>
    <w:rsid w:val="006F1FBD"/>
    <w:rsid w:val="0070026F"/>
    <w:rsid w:val="00712CB1"/>
    <w:rsid w:val="007666C9"/>
    <w:rsid w:val="0077004C"/>
    <w:rsid w:val="00784351"/>
    <w:rsid w:val="007B3A6D"/>
    <w:rsid w:val="007F0D07"/>
    <w:rsid w:val="008046F3"/>
    <w:rsid w:val="008530A1"/>
    <w:rsid w:val="00863F23"/>
    <w:rsid w:val="00887E81"/>
    <w:rsid w:val="00894AAD"/>
    <w:rsid w:val="008B7FA5"/>
    <w:rsid w:val="008C483E"/>
    <w:rsid w:val="008F4C88"/>
    <w:rsid w:val="00906966"/>
    <w:rsid w:val="00907BB5"/>
    <w:rsid w:val="00910CA0"/>
    <w:rsid w:val="00937AC0"/>
    <w:rsid w:val="009609BB"/>
    <w:rsid w:val="00970338"/>
    <w:rsid w:val="009B0EB2"/>
    <w:rsid w:val="009C2521"/>
    <w:rsid w:val="009D55E2"/>
    <w:rsid w:val="009E238D"/>
    <w:rsid w:val="009F10F4"/>
    <w:rsid w:val="00A02A5F"/>
    <w:rsid w:val="00A22972"/>
    <w:rsid w:val="00A23BE7"/>
    <w:rsid w:val="00A24408"/>
    <w:rsid w:val="00A2679C"/>
    <w:rsid w:val="00A310D7"/>
    <w:rsid w:val="00A31314"/>
    <w:rsid w:val="00AE3085"/>
    <w:rsid w:val="00AE3BED"/>
    <w:rsid w:val="00AE58DA"/>
    <w:rsid w:val="00AF4793"/>
    <w:rsid w:val="00B014BA"/>
    <w:rsid w:val="00B10CE4"/>
    <w:rsid w:val="00B227B9"/>
    <w:rsid w:val="00B3598D"/>
    <w:rsid w:val="00B4194B"/>
    <w:rsid w:val="00B72E9C"/>
    <w:rsid w:val="00B74B81"/>
    <w:rsid w:val="00B763BD"/>
    <w:rsid w:val="00B868BB"/>
    <w:rsid w:val="00BA1437"/>
    <w:rsid w:val="00BA4052"/>
    <w:rsid w:val="00BC3845"/>
    <w:rsid w:val="00BC5D94"/>
    <w:rsid w:val="00C168C8"/>
    <w:rsid w:val="00C37D61"/>
    <w:rsid w:val="00C534F8"/>
    <w:rsid w:val="00C860B6"/>
    <w:rsid w:val="00C954BD"/>
    <w:rsid w:val="00CE726B"/>
    <w:rsid w:val="00CF1B0F"/>
    <w:rsid w:val="00D22308"/>
    <w:rsid w:val="00D50EFA"/>
    <w:rsid w:val="00DB0004"/>
    <w:rsid w:val="00DB3CD9"/>
    <w:rsid w:val="00DB457A"/>
    <w:rsid w:val="00DB6EE2"/>
    <w:rsid w:val="00DC2D13"/>
    <w:rsid w:val="00DC7C7D"/>
    <w:rsid w:val="00DE742B"/>
    <w:rsid w:val="00DF294C"/>
    <w:rsid w:val="00E07819"/>
    <w:rsid w:val="00E07B40"/>
    <w:rsid w:val="00E373E2"/>
    <w:rsid w:val="00E5405D"/>
    <w:rsid w:val="00E566B8"/>
    <w:rsid w:val="00EA64B0"/>
    <w:rsid w:val="00EC073F"/>
    <w:rsid w:val="00ED2364"/>
    <w:rsid w:val="00F2700F"/>
    <w:rsid w:val="00F315F5"/>
    <w:rsid w:val="00F53CA9"/>
    <w:rsid w:val="01BE1272"/>
    <w:rsid w:val="03C055D4"/>
    <w:rsid w:val="04CB0FED"/>
    <w:rsid w:val="07AE45C4"/>
    <w:rsid w:val="11205904"/>
    <w:rsid w:val="18837001"/>
    <w:rsid w:val="1D3F78DF"/>
    <w:rsid w:val="2253786F"/>
    <w:rsid w:val="270F24F9"/>
    <w:rsid w:val="2F282D6F"/>
    <w:rsid w:val="33FF1027"/>
    <w:rsid w:val="3507448E"/>
    <w:rsid w:val="3A480A0B"/>
    <w:rsid w:val="42993F16"/>
    <w:rsid w:val="44221B5C"/>
    <w:rsid w:val="4DE2513A"/>
    <w:rsid w:val="52042F8A"/>
    <w:rsid w:val="58387DF0"/>
    <w:rsid w:val="59C369CD"/>
    <w:rsid w:val="5BFE4676"/>
    <w:rsid w:val="61F00E36"/>
    <w:rsid w:val="62583456"/>
    <w:rsid w:val="72F06919"/>
    <w:rsid w:val="75270D3B"/>
    <w:rsid w:val="75D3788E"/>
    <w:rsid w:val="7642618A"/>
    <w:rsid w:val="7DC07AD3"/>
    <w:rsid w:val="7E6B3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adjustRightInd w:val="0"/>
      <w:outlineLvl w:val="0"/>
    </w:pPr>
    <w:rPr>
      <w:b/>
      <w:bCs/>
      <w:color w:val="3333CC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bCs/>
      <w:color w:val="000080"/>
      <w:sz w:val="28"/>
    </w:rPr>
  </w:style>
  <w:style w:type="paragraph" w:styleId="4">
    <w:name w:val="heading 3"/>
    <w:basedOn w:val="1"/>
    <w:next w:val="1"/>
    <w:qFormat/>
    <w:uiPriority w:val="0"/>
    <w:pPr>
      <w:keepNext/>
      <w:autoSpaceDE w:val="0"/>
      <w:autoSpaceDN w:val="0"/>
      <w:adjustRightInd w:val="0"/>
      <w:outlineLvl w:val="2"/>
    </w:pPr>
    <w:rPr>
      <w:b/>
      <w:bCs/>
      <w:color w:val="000080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b/>
      <w:bCs/>
      <w:color w:val="000000"/>
      <w:sz w:val="28"/>
    </w:rPr>
  </w:style>
  <w:style w:type="paragraph" w:styleId="6">
    <w:name w:val="heading 5"/>
    <w:basedOn w:val="1"/>
    <w:next w:val="1"/>
    <w:qFormat/>
    <w:uiPriority w:val="0"/>
    <w:pPr>
      <w:keepNext/>
      <w:ind w:firstLine="1194" w:firstLineChars="597"/>
      <w:outlineLvl w:val="4"/>
    </w:pPr>
    <w:rPr>
      <w:rFonts w:ascii="Arial" w:hAnsi="Arial" w:cs="Arial"/>
      <w:b/>
      <w:bCs/>
      <w:sz w:val="24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rFonts w:ascii="Arial" w:hAnsi="Arial" w:cs="Arial"/>
      <w:b/>
      <w:bCs/>
      <w:sz w:val="28"/>
    </w:rPr>
  </w:style>
  <w:style w:type="paragraph" w:styleId="8">
    <w:name w:val="heading 7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ind w:firstLine="211" w:firstLineChars="100"/>
      <w:outlineLvl w:val="6"/>
    </w:pPr>
    <w:rPr>
      <w:rFonts w:ascii="Verdana" w:hAnsi="Verdana"/>
      <w:b/>
      <w:bCs/>
      <w:color w:val="FFFFFF"/>
      <w:szCs w:val="48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b/>
      <w:bCs/>
      <w:sz w:val="30"/>
    </w:rPr>
  </w:style>
  <w:style w:type="paragraph" w:styleId="10">
    <w:name w:val="heading 9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outlineLvl w:val="8"/>
    </w:pPr>
    <w:rPr>
      <w:rFonts w:ascii="Arial" w:hAnsi="Arial" w:cs="Arial"/>
      <w:b/>
      <w:bCs/>
      <w:color w:val="000000"/>
      <w:szCs w:val="1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5">
    <w:name w:val="Strong"/>
    <w:basedOn w:val="1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331</Words>
  <Characters>554</Characters>
  <Lines>6</Lines>
  <Paragraphs>1</Paragraphs>
  <TotalTime>0</TotalTime>
  <ScaleCrop>false</ScaleCrop>
  <LinksUpToDate>false</LinksUpToDate>
  <CharactersWithSpaces>567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2018-06-12T09:25:00Z</dcterms:created>
  <dc:creator>mechina</dc:creator>
  <cp:lastModifiedBy>笑炎</cp:lastModifiedBy>
  <cp:lastPrinted>2015-06-07T08:18:00Z</cp:lastPrinted>
  <dcterms:modified xsi:type="dcterms:W3CDTF">2026-07-30T09:36:37Z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eyJoZGlkIjoiNjI3NTNmMmI2ZTAyNmNkYzcyNGI1MGMwODcxYjVkNDUiLCJ1c2VySWQiOiI3MzI2MTM0MzkifQ==</vt:lpwstr>
  </property>
  <property fmtid="{D5CDD505-2E9C-101B-9397-08002B2CF9AE}" pid="4" name="ICV">
    <vt:lpwstr>7F610F51B03E4C24A610547B7D57CA6D_13</vt:lpwstr>
  </property>
</Properties>
</file>