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89C85">
      <w:pPr>
        <w:pStyle w:val="4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firstLine="3119" w:firstLineChars="866"/>
        <w:jc w:val="left"/>
        <w:rPr>
          <w:rFonts w:hint="default" w:ascii="Arial" w:hAnsi="Arial" w:eastAsia="等线" w:cs="Arial"/>
          <w:b/>
          <w:color w:val="000000"/>
          <w:sz w:val="36"/>
          <w:szCs w:val="36"/>
        </w:rPr>
      </w:pPr>
    </w:p>
    <w:p w14:paraId="61097F65">
      <w:pPr>
        <w:tabs>
          <w:tab w:val="left" w:pos="4566"/>
        </w:tabs>
        <w:ind w:firstLine="1140" w:firstLineChars="300"/>
        <w:jc w:val="center"/>
        <w:rPr>
          <w:rFonts w:hint="default" w:ascii="Arial" w:hAnsi="Arial" w:cs="Arial"/>
          <w:color w:val="000000"/>
          <w:sz w:val="38"/>
          <w:szCs w:val="38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720" w:num="1"/>
          <w:titlePg/>
          <w:docGrid w:type="lines" w:linePitch="312" w:charSpace="0"/>
        </w:sectPr>
      </w:pPr>
      <w:r>
        <w:rPr>
          <w:rFonts w:hint="default" w:ascii="Arial" w:hAnsi="Arial" w:cs="Arial"/>
          <w:color w:val="000000"/>
          <w:sz w:val="38"/>
          <w:szCs w:val="38"/>
        </w:rPr>
        <w:drawing>
          <wp:inline distT="0" distB="0" distL="0" distR="0">
            <wp:extent cx="2679700" cy="447421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13276"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4475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8ECC2E">
      <w:pPr>
        <w:jc w:val="left"/>
        <w:rPr>
          <w:rFonts w:hint="default" w:ascii="Arial" w:hAnsi="Arial" w:cs="Arial"/>
          <w:b/>
          <w:bCs/>
          <w:color w:val="000000"/>
          <w:sz w:val="28"/>
          <w:szCs w:val="28"/>
        </w:rPr>
      </w:pPr>
      <w:r>
        <w:rPr>
          <w:rFonts w:hint="default" w:ascii="Arial" w:hAnsi="Arial" w:cs="Arial"/>
          <w:b/>
          <w:bCs/>
          <w:color w:val="000000"/>
          <w:sz w:val="28"/>
          <w:szCs w:val="28"/>
        </w:rPr>
        <w:t>Product Introduction</w:t>
      </w:r>
    </w:p>
    <w:p w14:paraId="683BB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 xml:space="preserve">The M9 2 Sv lightweight mini surveillance PTZ camera is a comprehensive, portable, and easy-to-install wireless video application product. It features high integration, a large-capacity lithium battery, waterproofing and shockproof design , and a miniature size, weighing only 2.5 kg , making it easily portable and meeting the special requirements of temporary rapid deployment and remote dispatching. </w:t>
      </w:r>
    </w:p>
    <w:p w14:paraId="568A9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Arial" w:hAnsi="Arial" w:eastAsia="微软雅黑" w:cs="Arial"/>
          <w:color w:val="000000"/>
          <w:sz w:val="24"/>
        </w:rPr>
      </w:pPr>
    </w:p>
    <w:p w14:paraId="539AB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Arial" w:hAnsi="Arial" w:eastAsia="微软雅黑" w:cs="Arial"/>
          <w:color w:val="000000"/>
          <w:sz w:val="24"/>
        </w:rPr>
      </w:pPr>
    </w:p>
    <w:p w14:paraId="7DB2B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cs="Arial"/>
          <w:b/>
          <w:bCs/>
          <w:color w:val="000000"/>
          <w:sz w:val="28"/>
          <w:szCs w:val="28"/>
        </w:rPr>
      </w:pPr>
      <w:r>
        <w:rPr>
          <w:rFonts w:hint="default" w:ascii="Arial" w:hAnsi="Arial" w:cs="Arial"/>
          <w:b/>
          <w:bCs/>
          <w:color w:val="000000"/>
          <w:sz w:val="28"/>
          <w:szCs w:val="28"/>
        </w:rPr>
        <w:t>Product Advantages</w:t>
      </w:r>
    </w:p>
    <w:p w14:paraId="4BA0CE9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>Lightweight design</w:t>
      </w:r>
    </w:p>
    <w:p w14:paraId="732196B8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>IP6 protection rating</w:t>
      </w:r>
    </w:p>
    <w:p w14:paraId="6AA00F5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>Voice intercom function</w:t>
      </w:r>
    </w:p>
    <w:p w14:paraId="1978AE0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>Built-in high-capacity battery for long-lasting operation</w:t>
      </w:r>
    </w:p>
    <w:p w14:paraId="45B847CF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>360 ° omnidirectional PTZ control</w:t>
      </w:r>
    </w:p>
    <w:p w14:paraId="49A7BC2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>Supports 4G and WIFI</w:t>
      </w:r>
    </w:p>
    <w:p w14:paraId="42EAB40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>Supports wired network ports</w:t>
      </w:r>
    </w:p>
    <w:p w14:paraId="41088A44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微软雅黑" w:cs="Arial"/>
          <w:color w:val="000000"/>
          <w:sz w:val="24"/>
        </w:rPr>
      </w:pPr>
      <w:r>
        <w:rPr>
          <w:rFonts w:hint="default" w:ascii="Arial" w:hAnsi="Arial" w:eastAsia="微软雅黑" w:cs="Arial"/>
          <w:color w:val="000000"/>
          <w:sz w:val="24"/>
        </w:rPr>
        <w:t>Supports NARI encryption</w:t>
      </w:r>
    </w:p>
    <w:p w14:paraId="31EBB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</w:rPr>
      </w:pPr>
    </w:p>
    <w:p w14:paraId="22F6E653">
      <w:pPr>
        <w:rPr>
          <w:rFonts w:hint="default" w:ascii="Arial" w:hAnsi="Arial" w:cs="Arial"/>
        </w:rPr>
      </w:pPr>
    </w:p>
    <w:p w14:paraId="3F659DBC">
      <w:pPr>
        <w:rPr>
          <w:rFonts w:hint="default" w:ascii="Arial" w:hAnsi="Arial" w:cs="Arial"/>
        </w:rPr>
      </w:pPr>
    </w:p>
    <w:p w14:paraId="12C9D75A">
      <w:pPr>
        <w:rPr>
          <w:rFonts w:hint="default" w:ascii="Arial" w:hAnsi="Arial" w:cs="Arial"/>
        </w:rPr>
      </w:pPr>
    </w:p>
    <w:p w14:paraId="19B2232B">
      <w:pPr>
        <w:rPr>
          <w:rFonts w:hint="default" w:ascii="Arial" w:hAnsi="Arial" w:cs="Arial"/>
        </w:rPr>
      </w:pPr>
    </w:p>
    <w:p w14:paraId="2DAA0BFD">
      <w:pPr>
        <w:rPr>
          <w:rFonts w:hint="default" w:ascii="Arial" w:hAnsi="Arial" w:cs="Arial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3BEAF7B2">
      <w:pPr>
        <w:jc w:val="left"/>
        <w:rPr>
          <w:rFonts w:hint="default" w:ascii="Arial" w:hAnsi="Arial" w:cs="Arial"/>
          <w:b/>
          <w:bCs/>
          <w:color w:val="000000"/>
          <w:sz w:val="28"/>
          <w:szCs w:val="28"/>
        </w:rPr>
      </w:pPr>
      <w:r>
        <w:rPr>
          <w:rFonts w:hint="default" w:ascii="Arial" w:hAnsi="Arial" w:cs="Arial"/>
          <w:b/>
          <w:bCs/>
          <w:color w:val="000000"/>
          <w:sz w:val="28"/>
          <w:szCs w:val="28"/>
        </w:rPr>
        <w:t>Core parameters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2950"/>
        <w:gridCol w:w="5624"/>
      </w:tblGrid>
      <w:tr w14:paraId="168CA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56" w:type="dxa"/>
            <w:gridSpan w:val="2"/>
            <w:shd w:val="clear" w:color="auto" w:fill="E7E6E6"/>
            <w:vAlign w:val="center"/>
          </w:tcPr>
          <w:p w14:paraId="402D4879">
            <w:pPr>
              <w:spacing w:before="120" w:after="120"/>
              <w:jc w:val="center"/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</w:rPr>
              <w:t>project</w:t>
            </w:r>
          </w:p>
        </w:tc>
        <w:tc>
          <w:tcPr>
            <w:tcW w:w="5624" w:type="dxa"/>
            <w:shd w:val="clear" w:color="auto" w:fill="E7E6E6"/>
            <w:vAlign w:val="center"/>
          </w:tcPr>
          <w:p w14:paraId="24421783">
            <w:pPr>
              <w:spacing w:before="120" w:after="120"/>
              <w:jc w:val="center"/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sz w:val="22"/>
                <w:szCs w:val="22"/>
              </w:rPr>
              <w:t>Parameter Description</w:t>
            </w:r>
          </w:p>
        </w:tc>
      </w:tr>
      <w:tr w14:paraId="40060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2E486DFA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Video parameters</w:t>
            </w:r>
          </w:p>
        </w:tc>
        <w:tc>
          <w:tcPr>
            <w:tcW w:w="2950" w:type="dxa"/>
            <w:vAlign w:val="center"/>
          </w:tcPr>
          <w:p w14:paraId="2BAFED55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Video input</w:t>
            </w:r>
          </w:p>
        </w:tc>
        <w:tc>
          <w:tcPr>
            <w:tcW w:w="5624" w:type="dxa"/>
            <w:vAlign w:val="center"/>
          </w:tcPr>
          <w:p w14:paraId="1730A3BB">
            <w:pPr>
              <w:spacing w:before="120" w:after="120"/>
              <w:jc w:val="center"/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1-channel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  <w:lang w:val="en-US" w:eastAsia="zh-CN"/>
              </w:rPr>
              <w:t>IPC input</w:t>
            </w:r>
          </w:p>
        </w:tc>
      </w:tr>
      <w:tr w14:paraId="7D9FF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430F2DD6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385E49C1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Optical zoom</w:t>
            </w:r>
          </w:p>
        </w:tc>
        <w:tc>
          <w:tcPr>
            <w:tcW w:w="5624" w:type="dxa"/>
            <w:vAlign w:val="center"/>
          </w:tcPr>
          <w:p w14:paraId="144030E1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Maximum 10 times</w:t>
            </w:r>
          </w:p>
        </w:tc>
      </w:tr>
      <w:tr w14:paraId="3D0AD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7BF9987F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315C4BE1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Night vision distance</w:t>
            </w:r>
          </w:p>
        </w:tc>
        <w:tc>
          <w:tcPr>
            <w:tcW w:w="5624" w:type="dxa"/>
            <w:vAlign w:val="center"/>
          </w:tcPr>
          <w:p w14:paraId="3CD7C770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30 meters</w:t>
            </w:r>
          </w:p>
        </w:tc>
      </w:tr>
      <w:tr w14:paraId="0630D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65221E6A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68F5B5C0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Video encoding</w:t>
            </w:r>
          </w:p>
        </w:tc>
        <w:tc>
          <w:tcPr>
            <w:tcW w:w="5624" w:type="dxa"/>
            <w:vAlign w:val="center"/>
          </w:tcPr>
          <w:p w14:paraId="354A8082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H.264/H.265</w:t>
            </w:r>
          </w:p>
        </w:tc>
      </w:tr>
      <w:tr w14:paraId="49F39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1B5F13DC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29898CEE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Video pixels</w:t>
            </w:r>
          </w:p>
        </w:tc>
        <w:tc>
          <w:tcPr>
            <w:tcW w:w="5624" w:type="dxa"/>
            <w:vAlign w:val="center"/>
          </w:tcPr>
          <w:p w14:paraId="1CF04E2B">
            <w:pPr>
              <w:spacing w:before="120" w:after="120"/>
              <w:jc w:val="center"/>
              <w:rPr>
                <w:rFonts w:hint="default" w:ascii="Arial" w:hAnsi="Arial" w:eastAsia="宋体" w:cs="Arial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  <w:lang w:val="en-US" w:eastAsia="zh-CN"/>
              </w:rPr>
              <w:t xml:space="preserve">The default maximum is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2K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  <w:lang w:eastAsia="zh-CN"/>
              </w:rPr>
              <w:t xml:space="preserve">(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  <w:lang w:val="en-US" w:eastAsia="zh-CN"/>
              </w:rPr>
              <w:t xml:space="preserve">optional </w:t>
            </w:r>
            <w:r>
              <w:rPr>
                <w:rFonts w:hint="default" w:ascii="Arial" w:hAnsi="Arial" w:cs="Arial"/>
                <w:szCs w:val="21"/>
                <w:lang w:eastAsia="zh-CN"/>
              </w:rPr>
              <w:t xml:space="preserve">) </w:t>
            </w:r>
            <w:r>
              <w:rPr>
                <w:rFonts w:hint="default" w:ascii="Arial" w:hAnsi="Arial" w:cs="Arial"/>
                <w:szCs w:val="21"/>
              </w:rPr>
              <w:t>.</w:t>
            </w:r>
          </w:p>
        </w:tc>
      </w:tr>
      <w:tr w14:paraId="3F486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218BE8CB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0F6E740A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Support Agreement</w:t>
            </w:r>
          </w:p>
        </w:tc>
        <w:tc>
          <w:tcPr>
            <w:tcW w:w="5624" w:type="dxa"/>
            <w:vAlign w:val="center"/>
          </w:tcPr>
          <w:p w14:paraId="1B665144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GB2818 1. Private Protocol</w:t>
            </w:r>
          </w:p>
        </w:tc>
      </w:tr>
      <w:tr w14:paraId="24F2C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57EE5A63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Audio parameters</w:t>
            </w:r>
          </w:p>
        </w:tc>
        <w:tc>
          <w:tcPr>
            <w:tcW w:w="2950" w:type="dxa"/>
            <w:vAlign w:val="center"/>
          </w:tcPr>
          <w:p w14:paraId="6E0E5F54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Audio input</w:t>
            </w:r>
          </w:p>
        </w:tc>
        <w:tc>
          <w:tcPr>
            <w:tcW w:w="5624" w:type="dxa"/>
            <w:vAlign w:val="center"/>
          </w:tcPr>
          <w:p w14:paraId="386C11C7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szCs w:val="21"/>
              </w:rPr>
              <w:t>Built-in microphone</w:t>
            </w:r>
          </w:p>
        </w:tc>
      </w:tr>
      <w:tr w14:paraId="54536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75BAB2FF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171FD7E2">
            <w:pPr>
              <w:spacing w:before="120" w:after="120"/>
              <w:jc w:val="center"/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Audio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  <w:lang w:val="en-US" w:eastAsia="zh-CN"/>
              </w:rPr>
              <w:t>encoding</w:t>
            </w:r>
          </w:p>
        </w:tc>
        <w:tc>
          <w:tcPr>
            <w:tcW w:w="5624" w:type="dxa"/>
            <w:vAlign w:val="center"/>
          </w:tcPr>
          <w:p w14:paraId="66E513CC">
            <w:pPr>
              <w:spacing w:before="120" w:after="120"/>
              <w:jc w:val="center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G.711A, G.711U, PCM</w:t>
            </w:r>
          </w:p>
        </w:tc>
      </w:tr>
      <w:tr w14:paraId="3BAC0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11EB8138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47B6B097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Audio output</w:t>
            </w:r>
          </w:p>
        </w:tc>
        <w:tc>
          <w:tcPr>
            <w:tcW w:w="5624" w:type="dxa"/>
            <w:vAlign w:val="center"/>
          </w:tcPr>
          <w:p w14:paraId="46A17901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Built-in speaker</w:t>
            </w:r>
          </w:p>
        </w:tc>
      </w:tr>
      <w:tr w14:paraId="066E5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51ADBDBF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Storage method</w:t>
            </w:r>
          </w:p>
        </w:tc>
        <w:tc>
          <w:tcPr>
            <w:tcW w:w="2950" w:type="dxa"/>
            <w:vAlign w:val="center"/>
          </w:tcPr>
          <w:p w14:paraId="115537CF">
            <w:pPr>
              <w:spacing w:before="120" w:after="120"/>
              <w:jc w:val="center"/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TF card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  <w:lang w:eastAsia="zh-CN"/>
              </w:rPr>
              <w:t xml:space="preserve">(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  <w:lang w:val="en-US" w:eastAsia="zh-CN"/>
              </w:rPr>
              <w:t>standard version)</w:t>
            </w:r>
          </w:p>
        </w:tc>
        <w:tc>
          <w:tcPr>
            <w:tcW w:w="5624" w:type="dxa"/>
            <w:vAlign w:val="center"/>
          </w:tcPr>
          <w:p w14:paraId="0D4AB780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1 sheet, maximum 1TB</w:t>
            </w:r>
          </w:p>
        </w:tc>
      </w:tr>
      <w:tr w14:paraId="7CAE9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65D106F4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1A8442FA">
            <w:pPr>
              <w:spacing w:before="120" w:after="120"/>
              <w:jc w:val="center"/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  <w:lang w:val="en-US" w:eastAsia="zh-CN"/>
              </w:rPr>
              <w:t>Dual SIM (NARI version)</w:t>
            </w:r>
          </w:p>
        </w:tc>
        <w:tc>
          <w:tcPr>
            <w:tcW w:w="5624" w:type="dxa"/>
            <w:vAlign w:val="center"/>
          </w:tcPr>
          <w:p w14:paraId="16AA4BAB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  <w:lang w:val="en-US" w:eastAsia="zh-CN"/>
              </w:rPr>
              <w:t xml:space="preserve">Enabling the NARI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encryption function allows for the addition of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  <w:lang w:val="en-US" w:eastAsia="zh-CN"/>
              </w:rPr>
              <w:t xml:space="preserve">one more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TF card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  <w:lang w:eastAsia="zh-CN"/>
              </w:rPr>
              <w:t>.</w:t>
            </w:r>
          </w:p>
        </w:tc>
      </w:tr>
      <w:tr w14:paraId="006CA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Align w:val="center"/>
          </w:tcPr>
          <w:p w14:paraId="533C7121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Positioning method</w:t>
            </w:r>
          </w:p>
        </w:tc>
        <w:tc>
          <w:tcPr>
            <w:tcW w:w="2950" w:type="dxa"/>
            <w:vAlign w:val="center"/>
          </w:tcPr>
          <w:p w14:paraId="50CCE052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BeiDou/GPS</w:t>
            </w:r>
          </w:p>
        </w:tc>
        <w:tc>
          <w:tcPr>
            <w:tcW w:w="5624" w:type="dxa"/>
            <w:vAlign w:val="center"/>
          </w:tcPr>
          <w:p w14:paraId="5EC681C1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Supports mixed positioning</w:t>
            </w:r>
          </w:p>
        </w:tc>
      </w:tr>
      <w:tr w14:paraId="2BF75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2106" w:type="dxa"/>
            <w:vMerge w:val="restart"/>
            <w:vAlign w:val="center"/>
          </w:tcPr>
          <w:p w14:paraId="641E6C04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bookmarkStart w:id="0" w:name="OLE_LINK6"/>
            <w:bookmarkStart w:id="1" w:name="OLE_LINK5"/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network</w:t>
            </w:r>
          </w:p>
        </w:tc>
        <w:tc>
          <w:tcPr>
            <w:tcW w:w="2950" w:type="dxa"/>
            <w:vAlign w:val="center"/>
          </w:tcPr>
          <w:p w14:paraId="7E22C0AC">
            <w:pPr>
              <w:spacing w:before="120" w:after="120"/>
              <w:jc w:val="center"/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4G/5G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  <w:lang w:eastAsia="zh-CN"/>
              </w:rPr>
              <w:t xml:space="preserve">(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  <w:lang w:val="en-US" w:eastAsia="zh-CN"/>
              </w:rPr>
              <w:t>Standard Version)</w:t>
            </w:r>
          </w:p>
        </w:tc>
        <w:tc>
          <w:tcPr>
            <w:tcW w:w="5624" w:type="dxa"/>
            <w:vAlign w:val="center"/>
          </w:tcPr>
          <w:p w14:paraId="16468F62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One 4G/5G SIM card (compatible with all networks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  <w:lang w:eastAsia="zh-CN"/>
              </w:rPr>
              <w:t>)</w:t>
            </w:r>
          </w:p>
        </w:tc>
      </w:tr>
      <w:tr w14:paraId="58270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2106" w:type="dxa"/>
            <w:vMerge w:val="continue"/>
            <w:vAlign w:val="center"/>
          </w:tcPr>
          <w:p w14:paraId="49DF1840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0EB21E74">
            <w:pPr>
              <w:spacing w:before="120" w:after="120"/>
              <w:jc w:val="center"/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  <w:lang w:val="en-US" w:eastAsia="zh-CN"/>
              </w:rPr>
              <w:t>Optional 4G card (NARI version)</w:t>
            </w:r>
          </w:p>
        </w:tc>
        <w:tc>
          <w:tcPr>
            <w:tcW w:w="5624" w:type="dxa"/>
            <w:vAlign w:val="center"/>
          </w:tcPr>
          <w:p w14:paraId="6246FB64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NARI Encrypted Network: Supports one 4G SIM card compatible with all network types (optional)</w:t>
            </w:r>
          </w:p>
        </w:tc>
      </w:tr>
      <w:bookmarkEnd w:id="0"/>
      <w:bookmarkEnd w:id="1"/>
      <w:tr w14:paraId="440F0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106" w:type="dxa"/>
            <w:vMerge w:val="continue"/>
            <w:vAlign w:val="center"/>
          </w:tcPr>
          <w:p w14:paraId="6D628441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7778A513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WIFI</w:t>
            </w:r>
          </w:p>
        </w:tc>
        <w:tc>
          <w:tcPr>
            <w:tcW w:w="5624" w:type="dxa"/>
            <w:vAlign w:val="center"/>
          </w:tcPr>
          <w:p w14:paraId="70A300F4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WIFI 6 (backward compatible with 5.8/2.4G )</w:t>
            </w:r>
          </w:p>
          <w:p w14:paraId="6A61C6A8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Supports STA/AP modes</w:t>
            </w:r>
          </w:p>
        </w:tc>
      </w:tr>
      <w:tr w14:paraId="67EAB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106" w:type="dxa"/>
            <w:vMerge w:val="continue"/>
            <w:vAlign w:val="center"/>
          </w:tcPr>
          <w:p w14:paraId="0F5303FA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7ECC46B0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eastAsia" w:ascii="Arial" w:hAnsi="Arial" w:cs="Arial"/>
                <w:color w:val="000000"/>
                <w:sz w:val="22"/>
                <w:szCs w:val="22"/>
                <w:lang w:val="en-US" w:eastAsia="zh-CN"/>
              </w:rPr>
              <w:t>W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ired network port</w:t>
            </w:r>
          </w:p>
        </w:tc>
        <w:tc>
          <w:tcPr>
            <w:tcW w:w="5624" w:type="dxa"/>
            <w:vAlign w:val="center"/>
          </w:tcPr>
          <w:p w14:paraId="7DC0C8F7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Route 1</w:t>
            </w:r>
          </w:p>
        </w:tc>
      </w:tr>
      <w:tr w14:paraId="2DB33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Align w:val="center"/>
          </w:tcPr>
          <w:p w14:paraId="324E3080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Call the police</w:t>
            </w:r>
          </w:p>
        </w:tc>
        <w:tc>
          <w:tcPr>
            <w:tcW w:w="2950" w:type="dxa"/>
            <w:vAlign w:val="center"/>
          </w:tcPr>
          <w:p w14:paraId="7CA777F6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I/O</w:t>
            </w:r>
          </w:p>
        </w:tc>
        <w:tc>
          <w:tcPr>
            <w:tcW w:w="5624" w:type="dxa"/>
            <w:vAlign w:val="center"/>
          </w:tcPr>
          <w:p w14:paraId="3FB213ED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One input/one output (selectable, optional)</w:t>
            </w:r>
          </w:p>
        </w:tc>
      </w:tr>
      <w:tr w14:paraId="62608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4EB0DC28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eastAsia" w:ascii="Arial" w:hAnsi="Arial" w:cs="Arial"/>
                <w:color w:val="000000"/>
                <w:sz w:val="22"/>
                <w:szCs w:val="22"/>
                <w:lang w:val="en-US" w:eastAsia="zh-CN"/>
              </w:rPr>
              <w:t>G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imbal</w:t>
            </w:r>
          </w:p>
        </w:tc>
        <w:tc>
          <w:tcPr>
            <w:tcW w:w="2950" w:type="dxa"/>
            <w:vAlign w:val="center"/>
          </w:tcPr>
          <w:p w14:paraId="71FAC3C5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Horizontal range</w:t>
            </w:r>
          </w:p>
        </w:tc>
        <w:tc>
          <w:tcPr>
            <w:tcW w:w="5624" w:type="dxa"/>
            <w:vAlign w:val="center"/>
          </w:tcPr>
          <w:p w14:paraId="3C354338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360° continuous rotation</w:t>
            </w:r>
          </w:p>
        </w:tc>
      </w:tr>
      <w:tr w14:paraId="7AD41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2D6D8794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5DF6F216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Horizontal speed</w:t>
            </w:r>
          </w:p>
        </w:tc>
        <w:tc>
          <w:tcPr>
            <w:tcW w:w="5624" w:type="dxa"/>
            <w:vAlign w:val="center"/>
          </w:tcPr>
          <w:p w14:paraId="65B20E1B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120°/s</w:t>
            </w:r>
          </w:p>
        </w:tc>
      </w:tr>
      <w:tr w14:paraId="79F7D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34EAB8A1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2BB9BE40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Vertical range</w:t>
            </w:r>
          </w:p>
        </w:tc>
        <w:tc>
          <w:tcPr>
            <w:tcW w:w="5624" w:type="dxa"/>
            <w:vAlign w:val="center"/>
          </w:tcPr>
          <w:p w14:paraId="0FC454DA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-15°-90°</w:t>
            </w:r>
          </w:p>
        </w:tc>
      </w:tr>
      <w:tr w14:paraId="47C7A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347800E7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7AC75A62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Vertical velocity</w:t>
            </w:r>
          </w:p>
        </w:tc>
        <w:tc>
          <w:tcPr>
            <w:tcW w:w="5624" w:type="dxa"/>
            <w:vAlign w:val="center"/>
          </w:tcPr>
          <w:p w14:paraId="4CE351D8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60°/s</w:t>
            </w:r>
          </w:p>
        </w:tc>
      </w:tr>
      <w:tr w14:paraId="1FE0C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51B312A5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5DDF2D37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Preset point</w:t>
            </w:r>
          </w:p>
        </w:tc>
        <w:tc>
          <w:tcPr>
            <w:tcW w:w="5624" w:type="dxa"/>
            <w:vAlign w:val="center"/>
          </w:tcPr>
          <w:p w14:paraId="55D678B0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200</w:t>
            </w:r>
          </w:p>
        </w:tc>
      </w:tr>
      <w:tr w14:paraId="026A1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0E0D9A48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power supply</w:t>
            </w:r>
          </w:p>
        </w:tc>
        <w:tc>
          <w:tcPr>
            <w:tcW w:w="2950" w:type="dxa"/>
            <w:vAlign w:val="center"/>
          </w:tcPr>
          <w:p w14:paraId="3AE464FE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Built-in battery</w:t>
            </w:r>
          </w:p>
        </w:tc>
        <w:tc>
          <w:tcPr>
            <w:tcW w:w="5624" w:type="dxa"/>
            <w:vAlign w:val="center"/>
          </w:tcPr>
          <w:p w14:paraId="67033DE3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11.1V 10000mAh Lithium Battery Pack</w:t>
            </w:r>
          </w:p>
        </w:tc>
      </w:tr>
      <w:tr w14:paraId="0BDF6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3A0B7CF9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65C6298F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Working hours</w:t>
            </w:r>
          </w:p>
        </w:tc>
        <w:tc>
          <w:tcPr>
            <w:tcW w:w="5624" w:type="dxa"/>
            <w:vAlign w:val="center"/>
          </w:tcPr>
          <w:p w14:paraId="5BEF716E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Daytime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  <w:lang w:val="en-US" w:eastAsia="zh-CN"/>
              </w:rPr>
              <w:t xml:space="preserve">≈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20 hours</w:t>
            </w:r>
            <w:r>
              <w:rPr>
                <w:rFonts w:hint="eastAsia" w:ascii="Arial" w:hAnsi="Arial" w:cs="Arial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Nighttime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  <w:lang w:val="en-US" w:eastAsia="zh-CN"/>
              </w:rPr>
              <w:t xml:space="preserve">≈ 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12 hours</w:t>
            </w:r>
          </w:p>
        </w:tc>
      </w:tr>
      <w:tr w14:paraId="7EAF5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143A2002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14EAB556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Power Management</w:t>
            </w:r>
          </w:p>
        </w:tc>
        <w:tc>
          <w:tcPr>
            <w:tcW w:w="5624" w:type="dxa"/>
            <w:vAlign w:val="center"/>
          </w:tcPr>
          <w:p w14:paraId="0B3B5819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switch button</w:t>
            </w:r>
          </w:p>
        </w:tc>
      </w:tr>
      <w:tr w14:paraId="75536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28D755CC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6803435B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Charging mode</w:t>
            </w:r>
          </w:p>
        </w:tc>
        <w:tc>
          <w:tcPr>
            <w:tcW w:w="5624" w:type="dxa"/>
            <w:vAlign w:val="center"/>
          </w:tcPr>
          <w:p w14:paraId="603BE880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Desktop adapter (4A ) , M12 aviation connector (7 pins)</w:t>
            </w:r>
          </w:p>
        </w:tc>
      </w:tr>
      <w:tr w14:paraId="1689E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1C7C7A65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Physical Specifications</w:t>
            </w:r>
          </w:p>
        </w:tc>
        <w:tc>
          <w:tcPr>
            <w:tcW w:w="2950" w:type="dxa"/>
            <w:vAlign w:val="center"/>
          </w:tcPr>
          <w:p w14:paraId="6E7036DA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size</w:t>
            </w:r>
          </w:p>
        </w:tc>
        <w:tc>
          <w:tcPr>
            <w:tcW w:w="5624" w:type="dxa"/>
            <w:vAlign w:val="center"/>
          </w:tcPr>
          <w:p w14:paraId="61F531F1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150mm ( W ) * 250.8mm ( H ) * 99mm ( D )​​​</w:t>
            </w:r>
          </w:p>
        </w:tc>
      </w:tr>
      <w:tr w14:paraId="00E5B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43A3C3EC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7CA01EE8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bracket height</w:t>
            </w:r>
          </w:p>
        </w:tc>
        <w:tc>
          <w:tcPr>
            <w:tcW w:w="5624" w:type="dxa"/>
            <w:vAlign w:val="center"/>
          </w:tcPr>
          <w:p w14:paraId="25CE92E2">
            <w:pPr>
              <w:spacing w:before="120" w:after="120"/>
              <w:jc w:val="center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 xml:space="preserve">Maximum height including bracket 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 xml:space="preserve">: </w:t>
            </w:r>
            <w:r>
              <w:rPr>
                <w:rFonts w:hint="default" w:ascii="Arial" w:hAnsi="Arial" w:cs="Arial"/>
                <w:sz w:val="22"/>
                <w:szCs w:val="22"/>
              </w:rPr>
              <w:t>1700mm</w:t>
            </w:r>
          </w:p>
        </w:tc>
      </w:tr>
      <w:tr w14:paraId="56A10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106" w:type="dxa"/>
            <w:vMerge w:val="continue"/>
            <w:vAlign w:val="center"/>
          </w:tcPr>
          <w:p w14:paraId="06D5A8AE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4DB4C027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weight</w:t>
            </w:r>
          </w:p>
        </w:tc>
        <w:tc>
          <w:tcPr>
            <w:tcW w:w="5624" w:type="dxa"/>
            <w:vAlign w:val="center"/>
          </w:tcPr>
          <w:p w14:paraId="6B0FC262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NW: 2.5KG, </w:t>
            </w:r>
            <w:r>
              <w:rPr>
                <w:rFonts w:hint="eastAsia" w:ascii="Arial" w:hAnsi="Arial" w:cs="Arial"/>
                <w:color w:val="000000"/>
                <w:sz w:val="22"/>
                <w:szCs w:val="22"/>
                <w:lang w:val="en-US" w:eastAsia="zh-CN"/>
              </w:rPr>
              <w:t>GW</w:t>
            </w: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: 8KG (fluctuation within 5%)</w:t>
            </w:r>
          </w:p>
        </w:tc>
      </w:tr>
      <w:tr w14:paraId="1AEBC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7B55890D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Work environment</w:t>
            </w:r>
          </w:p>
        </w:tc>
        <w:tc>
          <w:tcPr>
            <w:tcW w:w="2950" w:type="dxa"/>
            <w:vAlign w:val="center"/>
          </w:tcPr>
          <w:p w14:paraId="1B77B501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Operating temperature</w:t>
            </w:r>
          </w:p>
        </w:tc>
        <w:tc>
          <w:tcPr>
            <w:tcW w:w="5624" w:type="dxa"/>
            <w:vAlign w:val="center"/>
          </w:tcPr>
          <w:p w14:paraId="57B6CD38">
            <w:pPr>
              <w:spacing w:before="120" w:after="120"/>
              <w:jc w:val="center"/>
              <w:rPr>
                <w:rFonts w:hint="default" w:ascii="Arial" w:hAnsi="Arial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-25℃ to +60℃ (in well-ventilated environments)</w:t>
            </w:r>
          </w:p>
        </w:tc>
      </w:tr>
      <w:tr w14:paraId="08A10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61B102CB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5EC51610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Operating humidity</w:t>
            </w:r>
          </w:p>
        </w:tc>
        <w:tc>
          <w:tcPr>
            <w:tcW w:w="5624" w:type="dxa"/>
            <w:vAlign w:val="center"/>
          </w:tcPr>
          <w:p w14:paraId="49EC485E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 xml:space="preserve">10%–95% (non-condensing </w:t>
            </w:r>
            <w:r>
              <w:rPr>
                <w:rFonts w:hint="default" w:ascii="Arial" w:hAnsi="Arial" w:cs="Arial"/>
                <w:sz w:val="22"/>
                <w:szCs w:val="22"/>
              </w:rPr>
              <w:t>)</w:t>
            </w:r>
          </w:p>
        </w:tc>
      </w:tr>
      <w:tr w14:paraId="09F90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restart"/>
            <w:vAlign w:val="center"/>
          </w:tcPr>
          <w:p w14:paraId="25C3665D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other</w:t>
            </w:r>
          </w:p>
        </w:tc>
        <w:tc>
          <w:tcPr>
            <w:tcW w:w="2950" w:type="dxa"/>
            <w:vAlign w:val="center"/>
          </w:tcPr>
          <w:p w14:paraId="543AB4DB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Installation mode</w:t>
            </w:r>
          </w:p>
        </w:tc>
        <w:tc>
          <w:tcPr>
            <w:tcW w:w="5624" w:type="dxa"/>
            <w:vAlign w:val="center"/>
          </w:tcPr>
          <w:p w14:paraId="6B3922CD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Cs w:val="21"/>
              </w:rPr>
              <w:t>Comes with a built-in bracket/base magnetic attachment.</w:t>
            </w:r>
          </w:p>
        </w:tc>
      </w:tr>
      <w:tr w14:paraId="28941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06" w:type="dxa"/>
            <w:vMerge w:val="continue"/>
            <w:vAlign w:val="center"/>
          </w:tcPr>
          <w:p w14:paraId="325713B8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950" w:type="dxa"/>
            <w:vAlign w:val="center"/>
          </w:tcPr>
          <w:p w14:paraId="519C3CFB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Protection level</w:t>
            </w:r>
          </w:p>
        </w:tc>
        <w:tc>
          <w:tcPr>
            <w:tcW w:w="5624" w:type="dxa"/>
            <w:vAlign w:val="center"/>
          </w:tcPr>
          <w:p w14:paraId="71DC396E">
            <w:pPr>
              <w:spacing w:before="120" w:after="120"/>
              <w:jc w:val="center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IP6 6</w:t>
            </w:r>
          </w:p>
        </w:tc>
      </w:tr>
    </w:tbl>
    <w:p w14:paraId="03A6E082">
      <w:pPr>
        <w:rPr>
          <w:rFonts w:hint="default" w:ascii="Arial" w:hAnsi="Arial" w:cs="Arial"/>
        </w:rPr>
        <w:sectPr>
          <w:type w:val="continuous"/>
          <w:pgSz w:w="11906" w:h="16838"/>
          <w:pgMar w:top="720" w:right="720" w:bottom="720" w:left="720" w:header="851" w:footer="992" w:gutter="0"/>
          <w:cols w:space="720" w:num="1"/>
          <w:titlePg/>
          <w:docGrid w:type="lines" w:linePitch="312" w:charSpace="0"/>
        </w:sectPr>
      </w:pPr>
    </w:p>
    <w:p w14:paraId="33FF9526">
      <w:pPr>
        <w:rPr>
          <w:rFonts w:hint="default" w:ascii="Arial" w:hAnsi="Arial" w:cs="Arial"/>
          <w:b/>
          <w:bCs/>
          <w:sz w:val="28"/>
          <w:szCs w:val="28"/>
        </w:rPr>
      </w:pPr>
    </w:p>
    <w:p w14:paraId="6F0995F0">
      <w:pPr>
        <w:jc w:val="left"/>
        <w:rPr>
          <w:rFonts w:hint="default" w:ascii="Arial" w:hAnsi="Arial" w:cs="Arial"/>
          <w:b/>
          <w:bCs/>
          <w:sz w:val="28"/>
          <w:szCs w:val="28"/>
        </w:rPr>
      </w:pPr>
      <w:r>
        <w:rPr>
          <w:rFonts w:hint="default" w:ascii="Arial" w:hAnsi="Arial" w:cs="Arial"/>
          <w:b/>
          <w:bCs/>
          <w:sz w:val="28"/>
          <w:szCs w:val="28"/>
        </w:rPr>
        <w:t>Movement parameters</w:t>
      </w:r>
    </w:p>
    <w:p w14:paraId="5DCA0ECC">
      <w:pPr>
        <w:rPr>
          <w:rFonts w:hint="default" w:ascii="Arial" w:hAnsi="Arial" w:cs="Arial"/>
          <w:color w:val="FF0000"/>
          <w:sz w:val="24"/>
        </w:rPr>
      </w:pPr>
      <w:r>
        <w:rPr>
          <w:rFonts w:hint="default" w:ascii="Arial" w:hAnsi="Arial" w:cs="Arial"/>
          <w:b/>
          <w:bCs/>
          <w:sz w:val="28"/>
          <w:szCs w:val="28"/>
        </w:rPr>
        <w:t xml:space="preserve"> </w:t>
      </w:r>
      <w:r>
        <w:rPr>
          <w:rFonts w:hint="default" w:ascii="Arial" w:hAnsi="Arial" w:cs="Arial"/>
          <w:sz w:val="24"/>
        </w:rPr>
        <w:t xml:space="preserve">  </w:t>
      </w:r>
      <w:r>
        <w:rPr>
          <w:rFonts w:hint="default" w:ascii="Arial" w:hAnsi="Arial" w:cs="Arial"/>
          <w:color w:val="FF0000"/>
          <w:sz w:val="24"/>
        </w:rPr>
        <w:t>The movement parameters vary depending on the specific model of the equipment. If needed, please inform our company of your actual technical requirements for assistance.</w:t>
      </w:r>
    </w:p>
    <w:p w14:paraId="2B3D838B">
      <w:pPr>
        <w:rPr>
          <w:rFonts w:hint="default" w:ascii="Arial" w:hAnsi="Arial" w:cs="Arial"/>
          <w:b/>
          <w:bCs/>
          <w:sz w:val="28"/>
          <w:szCs w:val="28"/>
        </w:rPr>
      </w:pPr>
    </w:p>
    <w:p w14:paraId="71EC3632">
      <w:pPr>
        <w:rPr>
          <w:rFonts w:hint="default" w:ascii="Arial" w:hAnsi="Arial" w:cs="Arial"/>
          <w:b/>
          <w:bCs/>
          <w:sz w:val="28"/>
          <w:szCs w:val="28"/>
        </w:rPr>
      </w:pPr>
      <w:r>
        <w:rPr>
          <w:rFonts w:hint="default" w:ascii="Arial" w:hAnsi="Arial" w:cs="Arial"/>
          <w:b/>
          <w:bCs/>
          <w:sz w:val="28"/>
          <w:szCs w:val="28"/>
        </w:rPr>
        <w:t>Dimensions</w:t>
      </w:r>
    </w:p>
    <w:p w14:paraId="0DE8200B">
      <w:pPr>
        <w:jc w:val="center"/>
        <w:rPr>
          <w:rFonts w:hint="default" w:ascii="Arial" w:hAnsi="Arial" w:cs="Arial"/>
          <w:b/>
          <w:bCs/>
          <w:sz w:val="28"/>
          <w:szCs w:val="28"/>
        </w:rPr>
      </w:pPr>
      <w:bookmarkStart w:id="2" w:name="_GoBack"/>
      <w:bookmarkEnd w:id="2"/>
      <w:r>
        <w:rPr>
          <w:rFonts w:hint="default" w:ascii="Arial" w:hAnsi="Arial" w:cs="Arial"/>
          <w:b/>
          <w:bCs/>
          <w:sz w:val="28"/>
          <w:szCs w:val="28"/>
        </w:rPr>
        <w:drawing>
          <wp:inline distT="0" distB="0" distL="0" distR="0">
            <wp:extent cx="2410460" cy="2913380"/>
            <wp:effectExtent l="0" t="0" r="254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2658" b="5895"/>
                    <a:stretch>
                      <a:fillRect/>
                    </a:stretch>
                  </pic:blipFill>
                  <pic:spPr>
                    <a:xfrm>
                      <a:off x="0" y="0"/>
                      <a:ext cx="2410460" cy="291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type w:val="continuous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E0D90">
    <w:pPr>
      <w:pStyle w:val="3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75081">
    <w:pPr>
      <w:pStyle w:val="3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872F13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E44CE">
    <w:pPr>
      <w:pStyle w:val="4"/>
      <w:rPr>
        <w:rFonts w:hint="eastAsia" w:ascii="思源黑体 CN Light" w:hAnsi="思源黑体 CN Light" w:eastAsia="思源黑体 CN Light" w:cs="思源黑体 CN Light"/>
        <w:sz w:val="28"/>
        <w:szCs w:val="28"/>
      </w:rPr>
    </w:pPr>
    <w:r>
      <w:rPr>
        <w:rFonts w:hint="eastAsia" w:ascii="思源黑体 CN Light" w:hAnsi="思源黑体 CN Light" w:eastAsia="思源黑体 CN Light" w:cs="思源黑体 CN Light"/>
        <w:b/>
        <w:color w:val="000000"/>
        <w:sz w:val="28"/>
        <w:szCs w:val="28"/>
      </w:rPr>
      <w:t>PTZ-M92Sv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A4083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F2E5F3"/>
    <w:multiLevelType w:val="singleLevel"/>
    <w:tmpl w:val="B1F2E5F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YzA1ODlkNDM3MjdmNGI0YmUxOWJmZWY2ZmU4MDAzODIifQ=="/>
  </w:docVars>
  <w:rsids>
    <w:rsidRoot w:val="00EE02CC"/>
    <w:rsid w:val="0002015B"/>
    <w:rsid w:val="000275B3"/>
    <w:rsid w:val="000429D2"/>
    <w:rsid w:val="00053E01"/>
    <w:rsid w:val="00062BBB"/>
    <w:rsid w:val="00064E87"/>
    <w:rsid w:val="0006732F"/>
    <w:rsid w:val="000723FA"/>
    <w:rsid w:val="0008214F"/>
    <w:rsid w:val="000B7F7D"/>
    <w:rsid w:val="000C0955"/>
    <w:rsid w:val="00105366"/>
    <w:rsid w:val="0012784D"/>
    <w:rsid w:val="00132EB9"/>
    <w:rsid w:val="00164013"/>
    <w:rsid w:val="00167F87"/>
    <w:rsid w:val="00172F51"/>
    <w:rsid w:val="00174088"/>
    <w:rsid w:val="001937BD"/>
    <w:rsid w:val="00194DE3"/>
    <w:rsid w:val="001B502F"/>
    <w:rsid w:val="001B56FA"/>
    <w:rsid w:val="001C6534"/>
    <w:rsid w:val="001D0B1C"/>
    <w:rsid w:val="001E6F92"/>
    <w:rsid w:val="001F299B"/>
    <w:rsid w:val="001F3E9A"/>
    <w:rsid w:val="001F6014"/>
    <w:rsid w:val="00204CF1"/>
    <w:rsid w:val="00205BCE"/>
    <w:rsid w:val="002115BD"/>
    <w:rsid w:val="00233939"/>
    <w:rsid w:val="0024293A"/>
    <w:rsid w:val="002541B7"/>
    <w:rsid w:val="002B5BE5"/>
    <w:rsid w:val="002B752E"/>
    <w:rsid w:val="002C183A"/>
    <w:rsid w:val="002C4407"/>
    <w:rsid w:val="002F2EC4"/>
    <w:rsid w:val="002F3754"/>
    <w:rsid w:val="002F6EDF"/>
    <w:rsid w:val="00301FF0"/>
    <w:rsid w:val="00321264"/>
    <w:rsid w:val="00324765"/>
    <w:rsid w:val="00333101"/>
    <w:rsid w:val="00337565"/>
    <w:rsid w:val="00340683"/>
    <w:rsid w:val="00340D9D"/>
    <w:rsid w:val="00346C08"/>
    <w:rsid w:val="00361780"/>
    <w:rsid w:val="003769E7"/>
    <w:rsid w:val="00396ED9"/>
    <w:rsid w:val="003C4232"/>
    <w:rsid w:val="003E4857"/>
    <w:rsid w:val="003F4543"/>
    <w:rsid w:val="00430DCB"/>
    <w:rsid w:val="00430EB9"/>
    <w:rsid w:val="00434F87"/>
    <w:rsid w:val="004715B7"/>
    <w:rsid w:val="004C0174"/>
    <w:rsid w:val="004D6612"/>
    <w:rsid w:val="004F147D"/>
    <w:rsid w:val="00502D5C"/>
    <w:rsid w:val="0051354E"/>
    <w:rsid w:val="00537A22"/>
    <w:rsid w:val="00542544"/>
    <w:rsid w:val="00555096"/>
    <w:rsid w:val="0056297C"/>
    <w:rsid w:val="00565071"/>
    <w:rsid w:val="00565178"/>
    <w:rsid w:val="00567D90"/>
    <w:rsid w:val="0057078A"/>
    <w:rsid w:val="00572C37"/>
    <w:rsid w:val="0057385A"/>
    <w:rsid w:val="00580AB5"/>
    <w:rsid w:val="0058507B"/>
    <w:rsid w:val="00587D8E"/>
    <w:rsid w:val="005A0001"/>
    <w:rsid w:val="005A6EEC"/>
    <w:rsid w:val="005B0080"/>
    <w:rsid w:val="005B17D8"/>
    <w:rsid w:val="005C7906"/>
    <w:rsid w:val="005D356A"/>
    <w:rsid w:val="005E4516"/>
    <w:rsid w:val="005F1F71"/>
    <w:rsid w:val="005F4946"/>
    <w:rsid w:val="005F4D00"/>
    <w:rsid w:val="00607EF1"/>
    <w:rsid w:val="00624E64"/>
    <w:rsid w:val="006320A3"/>
    <w:rsid w:val="00632254"/>
    <w:rsid w:val="00636CF2"/>
    <w:rsid w:val="00636E79"/>
    <w:rsid w:val="00653867"/>
    <w:rsid w:val="006739D1"/>
    <w:rsid w:val="006755A3"/>
    <w:rsid w:val="006978A6"/>
    <w:rsid w:val="006A3B92"/>
    <w:rsid w:val="006E71FA"/>
    <w:rsid w:val="00703FA1"/>
    <w:rsid w:val="00704BB0"/>
    <w:rsid w:val="00712881"/>
    <w:rsid w:val="0073635C"/>
    <w:rsid w:val="007524B0"/>
    <w:rsid w:val="00752E2E"/>
    <w:rsid w:val="00753800"/>
    <w:rsid w:val="00765C8C"/>
    <w:rsid w:val="00772012"/>
    <w:rsid w:val="00776875"/>
    <w:rsid w:val="00796282"/>
    <w:rsid w:val="007971D1"/>
    <w:rsid w:val="007C61B6"/>
    <w:rsid w:val="007C690A"/>
    <w:rsid w:val="007E42C8"/>
    <w:rsid w:val="007F7D89"/>
    <w:rsid w:val="00803514"/>
    <w:rsid w:val="00816AF8"/>
    <w:rsid w:val="00834357"/>
    <w:rsid w:val="00843048"/>
    <w:rsid w:val="008558D1"/>
    <w:rsid w:val="008600B5"/>
    <w:rsid w:val="00863013"/>
    <w:rsid w:val="008762C7"/>
    <w:rsid w:val="008A0DB5"/>
    <w:rsid w:val="008B082A"/>
    <w:rsid w:val="008B3F96"/>
    <w:rsid w:val="008D5A9C"/>
    <w:rsid w:val="008D6FA4"/>
    <w:rsid w:val="00916544"/>
    <w:rsid w:val="00916CA9"/>
    <w:rsid w:val="00923331"/>
    <w:rsid w:val="009308A9"/>
    <w:rsid w:val="00943326"/>
    <w:rsid w:val="0095253D"/>
    <w:rsid w:val="009548C9"/>
    <w:rsid w:val="00961D90"/>
    <w:rsid w:val="00963545"/>
    <w:rsid w:val="009724B3"/>
    <w:rsid w:val="00986189"/>
    <w:rsid w:val="0099332E"/>
    <w:rsid w:val="009D2329"/>
    <w:rsid w:val="009D578F"/>
    <w:rsid w:val="009D6CA5"/>
    <w:rsid w:val="009D7F72"/>
    <w:rsid w:val="009F306B"/>
    <w:rsid w:val="00A07925"/>
    <w:rsid w:val="00A121CF"/>
    <w:rsid w:val="00A12F01"/>
    <w:rsid w:val="00A14428"/>
    <w:rsid w:val="00A24BD1"/>
    <w:rsid w:val="00A26B88"/>
    <w:rsid w:val="00A2714F"/>
    <w:rsid w:val="00A318E6"/>
    <w:rsid w:val="00A31E94"/>
    <w:rsid w:val="00A34D6B"/>
    <w:rsid w:val="00A37E63"/>
    <w:rsid w:val="00A40B36"/>
    <w:rsid w:val="00A54325"/>
    <w:rsid w:val="00A65347"/>
    <w:rsid w:val="00A75543"/>
    <w:rsid w:val="00A8306D"/>
    <w:rsid w:val="00A93F71"/>
    <w:rsid w:val="00AA0CAF"/>
    <w:rsid w:val="00AB558A"/>
    <w:rsid w:val="00AC4517"/>
    <w:rsid w:val="00AE0EDE"/>
    <w:rsid w:val="00AE2F19"/>
    <w:rsid w:val="00AF0070"/>
    <w:rsid w:val="00AF02B5"/>
    <w:rsid w:val="00AF5EEE"/>
    <w:rsid w:val="00B02403"/>
    <w:rsid w:val="00B2210B"/>
    <w:rsid w:val="00B44E13"/>
    <w:rsid w:val="00B519ED"/>
    <w:rsid w:val="00B51E30"/>
    <w:rsid w:val="00B53627"/>
    <w:rsid w:val="00B5418F"/>
    <w:rsid w:val="00B55A79"/>
    <w:rsid w:val="00B8627A"/>
    <w:rsid w:val="00B9584E"/>
    <w:rsid w:val="00BB7193"/>
    <w:rsid w:val="00BB7B0B"/>
    <w:rsid w:val="00BC660E"/>
    <w:rsid w:val="00BE0C39"/>
    <w:rsid w:val="00C03C25"/>
    <w:rsid w:val="00C04955"/>
    <w:rsid w:val="00C1553A"/>
    <w:rsid w:val="00C2038F"/>
    <w:rsid w:val="00C25A27"/>
    <w:rsid w:val="00C50545"/>
    <w:rsid w:val="00C707C5"/>
    <w:rsid w:val="00C733E7"/>
    <w:rsid w:val="00C7717F"/>
    <w:rsid w:val="00C82FAC"/>
    <w:rsid w:val="00C85AC8"/>
    <w:rsid w:val="00C872B1"/>
    <w:rsid w:val="00C93349"/>
    <w:rsid w:val="00C962BF"/>
    <w:rsid w:val="00CD6EE9"/>
    <w:rsid w:val="00D013D9"/>
    <w:rsid w:val="00D02D49"/>
    <w:rsid w:val="00D1282E"/>
    <w:rsid w:val="00D154C2"/>
    <w:rsid w:val="00D15EC1"/>
    <w:rsid w:val="00D17863"/>
    <w:rsid w:val="00D30886"/>
    <w:rsid w:val="00D40A91"/>
    <w:rsid w:val="00D42B6E"/>
    <w:rsid w:val="00D5078F"/>
    <w:rsid w:val="00D51B3D"/>
    <w:rsid w:val="00D65770"/>
    <w:rsid w:val="00D659B8"/>
    <w:rsid w:val="00D70038"/>
    <w:rsid w:val="00D7493E"/>
    <w:rsid w:val="00DA3822"/>
    <w:rsid w:val="00DA741C"/>
    <w:rsid w:val="00DB5A73"/>
    <w:rsid w:val="00DD253F"/>
    <w:rsid w:val="00DD4CF5"/>
    <w:rsid w:val="00DE1C30"/>
    <w:rsid w:val="00DE464B"/>
    <w:rsid w:val="00DE52BE"/>
    <w:rsid w:val="00E12756"/>
    <w:rsid w:val="00E23FDD"/>
    <w:rsid w:val="00E267D0"/>
    <w:rsid w:val="00E269D5"/>
    <w:rsid w:val="00E40DD0"/>
    <w:rsid w:val="00E473BC"/>
    <w:rsid w:val="00E50AE7"/>
    <w:rsid w:val="00E53D57"/>
    <w:rsid w:val="00E54650"/>
    <w:rsid w:val="00E85482"/>
    <w:rsid w:val="00E86B78"/>
    <w:rsid w:val="00E870A8"/>
    <w:rsid w:val="00E87314"/>
    <w:rsid w:val="00E97F1E"/>
    <w:rsid w:val="00EB3FD7"/>
    <w:rsid w:val="00EB5E2F"/>
    <w:rsid w:val="00EC1FFF"/>
    <w:rsid w:val="00ED2B6B"/>
    <w:rsid w:val="00EE02CC"/>
    <w:rsid w:val="00EE17FD"/>
    <w:rsid w:val="00EE48DE"/>
    <w:rsid w:val="00F02488"/>
    <w:rsid w:val="00F03C1F"/>
    <w:rsid w:val="00F074A4"/>
    <w:rsid w:val="00F278DB"/>
    <w:rsid w:val="00F444B8"/>
    <w:rsid w:val="00F53129"/>
    <w:rsid w:val="00F57AE4"/>
    <w:rsid w:val="00F675DB"/>
    <w:rsid w:val="00F822F5"/>
    <w:rsid w:val="00F95F6E"/>
    <w:rsid w:val="00FA4764"/>
    <w:rsid w:val="00FB1D62"/>
    <w:rsid w:val="00FB38E5"/>
    <w:rsid w:val="00FC45B3"/>
    <w:rsid w:val="00FE7682"/>
    <w:rsid w:val="01C820D5"/>
    <w:rsid w:val="043F4216"/>
    <w:rsid w:val="06293758"/>
    <w:rsid w:val="06B17D4E"/>
    <w:rsid w:val="07030981"/>
    <w:rsid w:val="07493F81"/>
    <w:rsid w:val="07760BF9"/>
    <w:rsid w:val="07BB1426"/>
    <w:rsid w:val="07E62EE7"/>
    <w:rsid w:val="08F03DBD"/>
    <w:rsid w:val="09902DEC"/>
    <w:rsid w:val="09967A33"/>
    <w:rsid w:val="099836F7"/>
    <w:rsid w:val="09A862AD"/>
    <w:rsid w:val="0A0037CE"/>
    <w:rsid w:val="0A8D1E2D"/>
    <w:rsid w:val="0AA22F10"/>
    <w:rsid w:val="0AED5DC4"/>
    <w:rsid w:val="0BE20A4D"/>
    <w:rsid w:val="0BF11A4E"/>
    <w:rsid w:val="0D233497"/>
    <w:rsid w:val="0D2941EA"/>
    <w:rsid w:val="0E450938"/>
    <w:rsid w:val="0E942BF5"/>
    <w:rsid w:val="0EC248F6"/>
    <w:rsid w:val="0EF645A0"/>
    <w:rsid w:val="10007F15"/>
    <w:rsid w:val="10161156"/>
    <w:rsid w:val="10350BF4"/>
    <w:rsid w:val="105F72B8"/>
    <w:rsid w:val="119E39C9"/>
    <w:rsid w:val="11D27875"/>
    <w:rsid w:val="11F3162F"/>
    <w:rsid w:val="133833D9"/>
    <w:rsid w:val="14B4027E"/>
    <w:rsid w:val="14EA736E"/>
    <w:rsid w:val="15983246"/>
    <w:rsid w:val="160B14A8"/>
    <w:rsid w:val="16597BE0"/>
    <w:rsid w:val="165F5751"/>
    <w:rsid w:val="16992370"/>
    <w:rsid w:val="16E53EDE"/>
    <w:rsid w:val="17236198"/>
    <w:rsid w:val="172B3108"/>
    <w:rsid w:val="17963D6D"/>
    <w:rsid w:val="17DD3942"/>
    <w:rsid w:val="17E67233"/>
    <w:rsid w:val="18E43275"/>
    <w:rsid w:val="19E1246A"/>
    <w:rsid w:val="1A142DA9"/>
    <w:rsid w:val="1AA21AC2"/>
    <w:rsid w:val="1BE81919"/>
    <w:rsid w:val="1C1A7E8F"/>
    <w:rsid w:val="1C700C1D"/>
    <w:rsid w:val="1CB77EE3"/>
    <w:rsid w:val="1CBA71D0"/>
    <w:rsid w:val="1D4E55A7"/>
    <w:rsid w:val="1D5F28EF"/>
    <w:rsid w:val="1DA04A76"/>
    <w:rsid w:val="1DA04E73"/>
    <w:rsid w:val="1DB6670E"/>
    <w:rsid w:val="1DE742BD"/>
    <w:rsid w:val="20DD65D7"/>
    <w:rsid w:val="20F3198B"/>
    <w:rsid w:val="219E6E49"/>
    <w:rsid w:val="21A6183D"/>
    <w:rsid w:val="223942B3"/>
    <w:rsid w:val="22AF0896"/>
    <w:rsid w:val="233E4567"/>
    <w:rsid w:val="233E6D67"/>
    <w:rsid w:val="23572EB3"/>
    <w:rsid w:val="241516AE"/>
    <w:rsid w:val="24B341DB"/>
    <w:rsid w:val="24C76AAF"/>
    <w:rsid w:val="2569148A"/>
    <w:rsid w:val="26802C91"/>
    <w:rsid w:val="28C87E31"/>
    <w:rsid w:val="297E1A2A"/>
    <w:rsid w:val="2AB92A01"/>
    <w:rsid w:val="2BAE7598"/>
    <w:rsid w:val="2C0B2E20"/>
    <w:rsid w:val="2C31423D"/>
    <w:rsid w:val="2D3A718E"/>
    <w:rsid w:val="2E067549"/>
    <w:rsid w:val="2E7070A8"/>
    <w:rsid w:val="2EB864A5"/>
    <w:rsid w:val="2EDB2067"/>
    <w:rsid w:val="2F4F7AC4"/>
    <w:rsid w:val="2F8741CD"/>
    <w:rsid w:val="2F9278C0"/>
    <w:rsid w:val="30321CB7"/>
    <w:rsid w:val="322F3801"/>
    <w:rsid w:val="32A25098"/>
    <w:rsid w:val="33FE78CF"/>
    <w:rsid w:val="34403904"/>
    <w:rsid w:val="345E3797"/>
    <w:rsid w:val="346D1CC2"/>
    <w:rsid w:val="34D01869"/>
    <w:rsid w:val="354718D2"/>
    <w:rsid w:val="35BD3C96"/>
    <w:rsid w:val="36883F83"/>
    <w:rsid w:val="36932AEE"/>
    <w:rsid w:val="37766745"/>
    <w:rsid w:val="377C3B86"/>
    <w:rsid w:val="37E37B77"/>
    <w:rsid w:val="382C5C4E"/>
    <w:rsid w:val="386D4E84"/>
    <w:rsid w:val="386F1CA1"/>
    <w:rsid w:val="38D07456"/>
    <w:rsid w:val="39706AEF"/>
    <w:rsid w:val="3B620C03"/>
    <w:rsid w:val="3BF97025"/>
    <w:rsid w:val="3C15220B"/>
    <w:rsid w:val="3C2E2AAE"/>
    <w:rsid w:val="3CBF6BE2"/>
    <w:rsid w:val="3D013191"/>
    <w:rsid w:val="3D0550A8"/>
    <w:rsid w:val="3D0F66A9"/>
    <w:rsid w:val="3E022864"/>
    <w:rsid w:val="3F333B3A"/>
    <w:rsid w:val="3F494EEA"/>
    <w:rsid w:val="3FF06995"/>
    <w:rsid w:val="40642D7F"/>
    <w:rsid w:val="4115658C"/>
    <w:rsid w:val="41174B0C"/>
    <w:rsid w:val="41556D9B"/>
    <w:rsid w:val="416B62FB"/>
    <w:rsid w:val="41CC4976"/>
    <w:rsid w:val="41D93C06"/>
    <w:rsid w:val="433B5CAB"/>
    <w:rsid w:val="44B9624D"/>
    <w:rsid w:val="45A65C23"/>
    <w:rsid w:val="4678372C"/>
    <w:rsid w:val="47025ED2"/>
    <w:rsid w:val="47612E72"/>
    <w:rsid w:val="478C564C"/>
    <w:rsid w:val="48857038"/>
    <w:rsid w:val="4A454F01"/>
    <w:rsid w:val="4A7E71B5"/>
    <w:rsid w:val="4AD5073A"/>
    <w:rsid w:val="4B126FB6"/>
    <w:rsid w:val="4B163838"/>
    <w:rsid w:val="4BBD7B8A"/>
    <w:rsid w:val="4BEA34DC"/>
    <w:rsid w:val="4C1E63A8"/>
    <w:rsid w:val="4C3B396E"/>
    <w:rsid w:val="4D0B791A"/>
    <w:rsid w:val="4D967FBE"/>
    <w:rsid w:val="4D9B45A4"/>
    <w:rsid w:val="4E094000"/>
    <w:rsid w:val="4E1F275B"/>
    <w:rsid w:val="4E257948"/>
    <w:rsid w:val="4E7365F4"/>
    <w:rsid w:val="4E80045D"/>
    <w:rsid w:val="4F803202"/>
    <w:rsid w:val="50254FCD"/>
    <w:rsid w:val="506B3482"/>
    <w:rsid w:val="50C36516"/>
    <w:rsid w:val="51533CB2"/>
    <w:rsid w:val="515B7F0D"/>
    <w:rsid w:val="515F5F6D"/>
    <w:rsid w:val="51727016"/>
    <w:rsid w:val="51E62975"/>
    <w:rsid w:val="52054B76"/>
    <w:rsid w:val="52757F0A"/>
    <w:rsid w:val="529A44A7"/>
    <w:rsid w:val="52B96984"/>
    <w:rsid w:val="52E951B5"/>
    <w:rsid w:val="53050228"/>
    <w:rsid w:val="542A555A"/>
    <w:rsid w:val="546F0FFD"/>
    <w:rsid w:val="548A76AF"/>
    <w:rsid w:val="555453BB"/>
    <w:rsid w:val="56837ABB"/>
    <w:rsid w:val="56AA4D2F"/>
    <w:rsid w:val="56CD74CC"/>
    <w:rsid w:val="56D979A5"/>
    <w:rsid w:val="57236D5B"/>
    <w:rsid w:val="576A6D11"/>
    <w:rsid w:val="579527C0"/>
    <w:rsid w:val="586D608C"/>
    <w:rsid w:val="587C4919"/>
    <w:rsid w:val="58E25576"/>
    <w:rsid w:val="5924020E"/>
    <w:rsid w:val="59F602BE"/>
    <w:rsid w:val="5AC66EF1"/>
    <w:rsid w:val="5BB92AAF"/>
    <w:rsid w:val="5BC50FDC"/>
    <w:rsid w:val="5C39095C"/>
    <w:rsid w:val="5C875D4D"/>
    <w:rsid w:val="5D0979D0"/>
    <w:rsid w:val="5D2D2508"/>
    <w:rsid w:val="5D64318F"/>
    <w:rsid w:val="5E382782"/>
    <w:rsid w:val="5EF063A5"/>
    <w:rsid w:val="5F0C2645"/>
    <w:rsid w:val="5F113AF8"/>
    <w:rsid w:val="5F7D28A6"/>
    <w:rsid w:val="5FEF091C"/>
    <w:rsid w:val="605A17AC"/>
    <w:rsid w:val="613123EF"/>
    <w:rsid w:val="618E5D50"/>
    <w:rsid w:val="61DA4ED8"/>
    <w:rsid w:val="61F54D8E"/>
    <w:rsid w:val="61F7596A"/>
    <w:rsid w:val="623A44B2"/>
    <w:rsid w:val="62B6559D"/>
    <w:rsid w:val="62E55080"/>
    <w:rsid w:val="62F12F83"/>
    <w:rsid w:val="630D5889"/>
    <w:rsid w:val="63904A9C"/>
    <w:rsid w:val="63BF4119"/>
    <w:rsid w:val="63C97DEF"/>
    <w:rsid w:val="64540CC2"/>
    <w:rsid w:val="646F0674"/>
    <w:rsid w:val="64CB60EB"/>
    <w:rsid w:val="659146A9"/>
    <w:rsid w:val="65B33604"/>
    <w:rsid w:val="673A41D3"/>
    <w:rsid w:val="67664D0D"/>
    <w:rsid w:val="68791BFD"/>
    <w:rsid w:val="696F623D"/>
    <w:rsid w:val="69F47F81"/>
    <w:rsid w:val="6AA7211F"/>
    <w:rsid w:val="6B1819BC"/>
    <w:rsid w:val="6BE75518"/>
    <w:rsid w:val="6C040D17"/>
    <w:rsid w:val="6C5E738C"/>
    <w:rsid w:val="6C7B1E99"/>
    <w:rsid w:val="6CAC17A2"/>
    <w:rsid w:val="6CB430FF"/>
    <w:rsid w:val="6D0F0738"/>
    <w:rsid w:val="6DA01608"/>
    <w:rsid w:val="6EDD0049"/>
    <w:rsid w:val="6F1B3C59"/>
    <w:rsid w:val="6FFF6229"/>
    <w:rsid w:val="701D0FD7"/>
    <w:rsid w:val="7037619A"/>
    <w:rsid w:val="708E2E66"/>
    <w:rsid w:val="70903E89"/>
    <w:rsid w:val="7117210E"/>
    <w:rsid w:val="71A12D58"/>
    <w:rsid w:val="71B63E66"/>
    <w:rsid w:val="71C17EFD"/>
    <w:rsid w:val="729B64A6"/>
    <w:rsid w:val="729D0937"/>
    <w:rsid w:val="72AA1D98"/>
    <w:rsid w:val="72B61E99"/>
    <w:rsid w:val="72B70592"/>
    <w:rsid w:val="72CC3CDC"/>
    <w:rsid w:val="73EE091A"/>
    <w:rsid w:val="74EE48E9"/>
    <w:rsid w:val="75235A41"/>
    <w:rsid w:val="75B635D4"/>
    <w:rsid w:val="762813CA"/>
    <w:rsid w:val="76C761C9"/>
    <w:rsid w:val="770730DF"/>
    <w:rsid w:val="777C6D35"/>
    <w:rsid w:val="77982A12"/>
    <w:rsid w:val="77C53838"/>
    <w:rsid w:val="782146A6"/>
    <w:rsid w:val="786B7564"/>
    <w:rsid w:val="78E04E40"/>
    <w:rsid w:val="791264C4"/>
    <w:rsid w:val="7A2B35EB"/>
    <w:rsid w:val="7A3A41B1"/>
    <w:rsid w:val="7A5C0273"/>
    <w:rsid w:val="7A684C7B"/>
    <w:rsid w:val="7A7A1F6E"/>
    <w:rsid w:val="7AC61EA6"/>
    <w:rsid w:val="7B6A65EF"/>
    <w:rsid w:val="7B8B0E2B"/>
    <w:rsid w:val="7BFE742B"/>
    <w:rsid w:val="7CCE0199"/>
    <w:rsid w:val="7CDE7263"/>
    <w:rsid w:val="7DC24788"/>
    <w:rsid w:val="7DC25F83"/>
    <w:rsid w:val="7DFE20C3"/>
    <w:rsid w:val="7E091A49"/>
    <w:rsid w:val="7E2A2D86"/>
    <w:rsid w:val="7EA27C5D"/>
    <w:rsid w:val="7F3E79EC"/>
    <w:rsid w:val="7F7E0829"/>
    <w:rsid w:val="7FC06EBD"/>
    <w:rsid w:val="7FF3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semiHidden="0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locked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20"/>
    </w:rPr>
  </w:style>
  <w:style w:type="paragraph" w:styleId="4">
    <w:name w:val="header"/>
    <w:basedOn w:val="1"/>
    <w:link w:val="1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kern w:val="0"/>
      <w:sz w:val="18"/>
      <w:szCs w:val="20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字符"/>
    <w:link w:val="3"/>
    <w:semiHidden/>
    <w:qFormat/>
    <w:locked/>
    <w:uiPriority w:val="99"/>
    <w:rPr>
      <w:rFonts w:cs="Times New Roman"/>
      <w:sz w:val="18"/>
    </w:rPr>
  </w:style>
  <w:style w:type="paragraph" w:customStyle="1" w:styleId="9">
    <w:name w:val="Table Paragraph"/>
    <w:basedOn w:val="1"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10">
    <w:name w:val="List Paragraph"/>
    <w:basedOn w:val="1"/>
    <w:qFormat/>
    <w:uiPriority w:val="99"/>
    <w:pPr>
      <w:ind w:firstLine="420" w:firstLineChars="200"/>
    </w:pPr>
    <w:rPr>
      <w:szCs w:val="22"/>
    </w:rPr>
  </w:style>
  <w:style w:type="character" w:customStyle="1" w:styleId="11">
    <w:name w:val="页眉 字符"/>
    <w:link w:val="4"/>
    <w:semiHidden/>
    <w:qFormat/>
    <w:locked/>
    <w:uiPriority w:val="99"/>
    <w:rPr>
      <w:rFonts w:cs="Times New Roman"/>
      <w:sz w:val="18"/>
    </w:rPr>
  </w:style>
  <w:style w:type="paragraph" w:customStyle="1" w:styleId="12">
    <w:name w:val="其他"/>
    <w:basedOn w:val="1"/>
    <w:qFormat/>
    <w:uiPriority w:val="99"/>
    <w:rPr>
      <w:rFonts w:ascii="宋体" w:hAnsi="宋体" w:cs="宋体"/>
      <w:sz w:val="30"/>
      <w:szCs w:val="30"/>
    </w:rPr>
  </w:style>
  <w:style w:type="character" w:customStyle="1" w:styleId="13">
    <w:name w:val="批注框文本 字符"/>
    <w:basedOn w:val="7"/>
    <w:link w:val="2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386</Words>
  <Characters>2264</Characters>
  <Lines>108</Lines>
  <Paragraphs>109</Paragraphs>
  <TotalTime>0</TotalTime>
  <ScaleCrop>false</ScaleCrop>
  <LinksUpToDate>false</LinksUpToDate>
  <CharactersWithSpaces>2557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2024-08-09T17:47:00Z</dcterms:created>
  <dc:creator>shengli</dc:creator>
  <cp:lastModifiedBy>笑炎</cp:lastModifiedBy>
  <dcterms:modified xsi:type="dcterms:W3CDTF">2026-06-27T03:39:43Z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eyJoZGlkIjoiNjNhNWVmOGNhYzc2ZTdjN2IxNTIwZjEwN2U3NjQ5Y2EiLCJ1c2VySWQiOiI3MzI2MTM0MzkifQ==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4E91B847F4884F5B8E00C62533BFCDED_12</vt:lpwstr>
  </property>
</Properties>
</file>